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0"/>
      </w:pPr>
      <w:r>
        <w:t xml:space="preserve"/>
      </w:r>
    </w:p>
    <w:p>
      <w:pPr>
        <w:spacing w:after="120"/>
        <w:jc w:val="center"/>
      </w:pPr>
      <w:r>
        <w:rPr>
          <w:rFonts w:ascii="Calibri" w:cs="Calibri" w:eastAsia="Calibri" w:hAnsi="Calibri"/>
          <w:b/>
          <w:bCs/>
          <w:caps/>
          <w:color w:val="1F2B45"/>
          <w:sz w:val="56"/>
          <w:szCs w:val="56"/>
        </w:rPr>
        <w:t xml:space="preserve">TOP 10 AI ENGINES</w:t>
      </w:r>
    </w:p>
    <w:p>
      <w:pPr>
        <w:spacing w:after="120"/>
        <w:jc w:val="center"/>
      </w:pPr>
      <w:r>
        <w:rPr>
          <w:rFonts w:ascii="Calibri" w:cs="Calibri" w:eastAsia="Calibri" w:hAnsi="Calibri"/>
          <w:b/>
          <w:bCs/>
          <w:color w:val="C9A84C"/>
          <w:sz w:val="48"/>
          <w:szCs w:val="48"/>
        </w:rPr>
        <w:t xml:space="preserve">SWOT Analysis</w:t>
      </w:r>
    </w:p>
    <w:p>
      <w:pPr>
        <w:spacing w:after="400"/>
        <w:jc w:val="center"/>
      </w:pPr>
      <w:r>
        <w:rPr>
          <w:rFonts w:ascii="Calibri" w:cs="Calibri" w:eastAsia="Calibri" w:hAnsi="Calibri"/>
          <w:color w:val="595959"/>
          <w:sz w:val="24"/>
          <w:szCs w:val="24"/>
        </w:rPr>
        <w:t xml:space="preserve">Strengths · Weaknesses · Opportunities · Threats</w:t>
      </w:r>
    </w:p>
    <w:p>
      <w:pPr>
        <w:pBdr>
          <w:bottom w:val="single" w:color="C9A84C" w:sz="12"/>
        </w:pBdr>
        <w:spacing w:after="400"/>
      </w:pPr>
    </w:p>
    <w:p>
      <w:pPr>
        <w:spacing w:after="4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E8EDF4" w:val="clear"/>
            <w:tcMar>
              <w:top w:type="dxa" w:w="80"/>
              <w:left w:type="dxa" w:w="120"/>
              <w:bottom w:type="dxa" w:w="80"/>
              <w:right w:type="dxa" w:w="120"/>
            </w:tcMar>
          </w:tcPr>
          <w:p>
            <w:r>
              <w:rPr>
                <w:rFonts w:ascii="Calibri" w:cs="Calibri" w:eastAsia="Calibri" w:hAnsi="Calibri"/>
                <w:b/>
                <w:bCs/>
                <w:sz w:val="20"/>
                <w:szCs w:val="20"/>
              </w:rPr>
              <w:t xml:space="preserve">Prepared by</w:t>
            </w:r>
          </w:p>
        </w:tc>
        <w:tc>
          <w:tcPr>
            <w:tcW w:type="dxa" w:w="636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rFonts w:ascii="Calibri" w:cs="Calibri" w:eastAsia="Calibri" w:hAnsi="Calibri"/>
                <w:color w:val="595959"/>
                <w:sz w:val="20"/>
                <w:szCs w:val="20"/>
              </w:rPr>
              <w:t xml:space="preserve">Data Defenders, LLC</w:t>
            </w:r>
          </w:p>
        </w:tc>
      </w:tr>
      <w:tr>
        <w:tc>
          <w:tcPr>
            <w:tcW w:type="dxa" w:w="3000"/>
            <w:tcBorders>
              <w:top w:val="single" w:color="CCCCCC" w:sz="4"/>
              <w:left w:val="single" w:color="CCCCCC" w:sz="4"/>
              <w:bottom w:val="single" w:color="CCCCCC" w:sz="4"/>
              <w:right w:val="single" w:color="CCCCCC" w:sz="4"/>
            </w:tcBorders>
            <w:shd w:fill="E8EDF4" w:val="clear"/>
            <w:tcMar>
              <w:top w:type="dxa" w:w="80"/>
              <w:left w:type="dxa" w:w="120"/>
              <w:bottom w:type="dxa" w:w="80"/>
              <w:right w:type="dxa" w:w="120"/>
            </w:tcMar>
          </w:tcPr>
          <w:p>
            <w:r>
              <w:rPr>
                <w:rFonts w:ascii="Calibri" w:cs="Calibri" w:eastAsia="Calibri" w:hAnsi="Calibri"/>
                <w:b/>
                <w:bCs/>
                <w:sz w:val="20"/>
                <w:szCs w:val="20"/>
              </w:rPr>
              <w:t xml:space="preserve">Organization</w:t>
            </w:r>
          </w:p>
        </w:tc>
        <w:tc>
          <w:tcPr>
            <w:tcW w:type="dxa" w:w="636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rFonts w:ascii="Calibri" w:cs="Calibri" w:eastAsia="Calibri" w:hAnsi="Calibri"/>
                <w:color w:val="595959"/>
                <w:sz w:val="20"/>
                <w:szCs w:val="20"/>
              </w:rPr>
              <w:t xml:space="preserve"> </w:t>
            </w:r>
          </w:p>
        </w:tc>
      </w:tr>
      <w:tr>
        <w:tc>
          <w:tcPr>
            <w:tcW w:type="dxa" w:w="3000"/>
            <w:tcBorders>
              <w:top w:val="single" w:color="CCCCCC" w:sz="4"/>
              <w:left w:val="single" w:color="CCCCCC" w:sz="4"/>
              <w:bottom w:val="single" w:color="CCCCCC" w:sz="4"/>
              <w:right w:val="single" w:color="CCCCCC" w:sz="4"/>
            </w:tcBorders>
            <w:shd w:fill="E8EDF4" w:val="clear"/>
            <w:tcMar>
              <w:top w:type="dxa" w:w="80"/>
              <w:left w:type="dxa" w:w="120"/>
              <w:bottom w:type="dxa" w:w="80"/>
              <w:right w:type="dxa" w:w="120"/>
            </w:tcMar>
          </w:tcPr>
          <w:p>
            <w:r>
              <w:rPr>
                <w:rFonts w:ascii="Calibri" w:cs="Calibri" w:eastAsia="Calibri" w:hAnsi="Calibri"/>
                <w:b/>
                <w:bCs/>
                <w:sz w:val="20"/>
                <w:szCs w:val="20"/>
              </w:rPr>
              <w:t xml:space="preserve">Date</w:t>
            </w:r>
          </w:p>
        </w:tc>
        <w:tc>
          <w:tcPr>
            <w:tcW w:type="dxa" w:w="636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rFonts w:ascii="Calibri" w:cs="Calibri" w:eastAsia="Calibri" w:hAnsi="Calibri"/>
                <w:color w:val="595959"/>
                <w:sz w:val="20"/>
                <w:szCs w:val="20"/>
              </w:rPr>
              <w:t xml:space="preserve">March 18, 2026</w:t>
            </w:r>
          </w:p>
        </w:tc>
      </w:tr>
      <w:tr>
        <w:tc>
          <w:tcPr>
            <w:tcW w:type="dxa" w:w="3000"/>
            <w:tcBorders>
              <w:top w:val="single" w:color="CCCCCC" w:sz="4"/>
              <w:left w:val="single" w:color="CCCCCC" w:sz="4"/>
              <w:bottom w:val="single" w:color="CCCCCC" w:sz="4"/>
              <w:right w:val="single" w:color="CCCCCC" w:sz="4"/>
            </w:tcBorders>
            <w:shd w:fill="E8EDF4" w:val="clear"/>
            <w:tcMar>
              <w:top w:type="dxa" w:w="80"/>
              <w:left w:type="dxa" w:w="120"/>
              <w:bottom w:type="dxa" w:w="80"/>
              <w:right w:type="dxa" w:w="120"/>
            </w:tcMar>
          </w:tcPr>
          <w:p>
            <w:r>
              <w:rPr>
                <w:rFonts w:ascii="Calibri" w:cs="Calibri" w:eastAsia="Calibri" w:hAnsi="Calibri"/>
                <w:b/>
                <w:bCs/>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rFonts w:ascii="Calibri" w:cs="Calibri" w:eastAsia="Calibri" w:hAnsi="Calibri"/>
                <w:color w:val="595959"/>
                <w:sz w:val="20"/>
                <w:szCs w:val="20"/>
              </w:rPr>
              <w:t xml:space="preserve">1.0</w:t>
            </w:r>
          </w:p>
        </w:tc>
      </w:tr>
      <w:tr>
        <w:tc>
          <w:tcPr>
            <w:tcW w:type="dxa" w:w="3000"/>
            <w:tcBorders>
              <w:top w:val="single" w:color="CCCCCC" w:sz="4"/>
              <w:left w:val="single" w:color="CCCCCC" w:sz="4"/>
              <w:bottom w:val="single" w:color="CCCCCC" w:sz="4"/>
              <w:right w:val="single" w:color="CCCCCC" w:sz="4"/>
            </w:tcBorders>
            <w:shd w:fill="E8EDF4" w:val="clear"/>
            <w:tcMar>
              <w:top w:type="dxa" w:w="80"/>
              <w:left w:type="dxa" w:w="120"/>
              <w:bottom w:type="dxa" w:w="80"/>
              <w:right w:type="dxa" w:w="120"/>
            </w:tcMar>
          </w:tcPr>
          <w:p>
            <w:r>
              <w:rPr>
                <w:rFonts w:ascii="Calibri" w:cs="Calibri" w:eastAsia="Calibri" w:hAnsi="Calibri"/>
                <w:b/>
                <w:bCs/>
                <w:sz w:val="20"/>
                <w:szCs w:val="20"/>
              </w:rPr>
              <w:t xml:space="preserve">Classification</w:t>
            </w:r>
          </w:p>
        </w:tc>
        <w:tc>
          <w:tcPr>
            <w:tcW w:type="dxa" w:w="6360"/>
            <w:tcBorders>
              <w:top w:val="single" w:color="CCCCCC" w:sz="4"/>
              <w:left w:val="single" w:color="CCCCCC" w:sz="4"/>
              <w:bottom w:val="single" w:color="CCCCCC" w:sz="4"/>
              <w:right w:val="single" w:color="CCCCCC" w:sz="4"/>
            </w:tcBorders>
            <w:tcMar>
              <w:top w:type="dxa" w:w="80"/>
              <w:left w:type="dxa" w:w="120"/>
              <w:bottom w:type="dxa" w:w="80"/>
              <w:right w:type="dxa" w:w="120"/>
            </w:tcMar>
          </w:tcPr>
          <w:p>
            <w:r>
              <w:rPr>
                <w:rFonts w:ascii="Calibri" w:cs="Calibri" w:eastAsia="Calibri" w:hAnsi="Calibri"/>
                <w:color w:val="595959"/>
                <w:sz w:val="20"/>
                <w:szCs w:val="20"/>
              </w:rPr>
              <w:t xml:space="preserve">Confidential</w:t>
            </w:r>
          </w:p>
        </w:tc>
      </w:tr>
    </w:tbl>
    <w:p>
      <w:pPr>
        <w:spacing w:after="200"/>
      </w:pPr>
      <w:r>
        <w:t xml:space="preserve"/>
      </w:r>
    </w:p>
    <w:p>
      <w:pPr>
        <w:pageBreakBefore/>
      </w:pPr>
      <w:r>
        <w:rPr>
          <w:sz w:val="20"/>
          <w:szCs w:val="20"/>
        </w:rPr>
        <w:t xml:space="preserve"/>
      </w:r>
    </w:p>
    <w:p>
      <w:pPr>
        <w:shd w:fill="1F2B45" w:val="clear"/>
        <w:spacing w:before="0" w:after="200"/>
        <w:ind w:left="160" w:right="160"/>
      </w:pPr>
      <w:r>
        <w:rPr>
          <w:rFonts w:ascii="Calibri" w:cs="Calibri" w:eastAsia="Calibri" w:hAnsi="Calibri"/>
          <w:b/>
          <w:bCs/>
          <w:color w:val="FFFFFF"/>
          <w:sz w:val="32"/>
          <w:szCs w:val="32"/>
        </w:rPr>
        <w:t xml:space="preserve">TABLE OF CONTENTS</w:t>
      </w:r>
    </w:p>
    <w:p>
      <w:pPr>
        <w:spacing w:after="160"/>
      </w:pPr>
      <w:r>
        <w:t xml:space="preserve"/>
      </w:r>
    </w:p>
    <w:sdt>
      <w:sdtPr>
        <w:alias w:val="Table of Contents"/>
      </w:sdtPr>
      <w:sdtContent>
        <w:p>
          <w:r>
            <w:fldChar w:fldCharType="begin" w:dirty="true"/>
            <w:instrText xml:space="preserve">TOC \h \o "1-2" \t "Heading 1,1,Heading 2,2"</w:instrText>
            <w:fldChar w:fldCharType="separate"/>
          </w:r>
        </w:p>
        <w:p>
          <w:r>
            <w:fldChar w:fldCharType="end"/>
          </w:r>
        </w:p>
      </w:sdtContent>
    </w:sdt>
    <w:p>
      <w:pPr>
        <w:spacing w:after="200"/>
      </w:pPr>
      <w:r>
        <w:t xml:space="preserve"/>
      </w:r>
    </w:p>
    <w:p>
      <w:pPr>
        <w:pageBreakBefore/>
      </w:pPr>
      <w:r>
        <w:rPr>
          <w:sz w:val="20"/>
          <w:szCs w:val="20"/>
        </w:rPr>
        <w:t xml:space="preserve"/>
      </w:r>
    </w:p>
    <w:p>
      <w:pPr>
        <w:pStyle w:val="Heading1"/>
        <w:spacing w:before="320" w:after="120"/>
      </w:pPr>
      <w:r>
        <w:rPr>
          <w:rFonts w:ascii="Calibri" w:cs="Calibri" w:eastAsia="Calibri" w:hAnsi="Calibri"/>
          <w:b/>
          <w:bCs/>
          <w:color w:val="1F2B45"/>
          <w:sz w:val="36"/>
          <w:szCs w:val="36"/>
        </w:rPr>
        <w:t xml:space="preserve">Introduction</w:t>
      </w:r>
    </w:p>
    <w:p>
      <w:pPr>
        <w:pBdr>
          <w:bottom w:val="single" w:color="C9A84C" w:sz="8"/>
        </w:pBdr>
        <w:spacing w:after="160"/>
      </w:pPr>
    </w:p>
    <w:p>
      <w:pPr>
        <w:spacing w:after="80"/>
      </w:pPr>
      <w:r>
        <w:rPr>
          <w:rFonts w:ascii="Calibri" w:cs="Calibri" w:eastAsia="Calibri" w:hAnsi="Calibri"/>
          <w:b w:val="false"/>
          <w:bCs w:val="false"/>
          <w:i w:val="false"/>
          <w:iCs w:val="false"/>
          <w:color w:val="595959"/>
          <w:sz w:val="20"/>
          <w:szCs w:val="20"/>
        </w:rPr>
        <w:t xml:space="preserve">This document presents a SWOT analysis of the ten leading AI engines, ranked by weighted composite score. Each model is assessed across four quadrants: internal Strengths and Weaknesses, and external Opportunities and Threats. Rankings are based on the evaluation criteria and methodology detailed on the following page.</w:t>
      </w:r>
    </w:p>
    <w:p>
      <w:pPr>
        <w:spacing w:after="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60"/>
        <w:gridCol w:w="600"/>
        <w:gridCol w:w="3200"/>
        <w:gridCol w:w="1800"/>
        <w:gridCol w:w="1200"/>
        <w:gridCol w:w="2000"/>
      </w:tblGrid>
      <w:tr>
        <w:tc>
          <w:tcPr>
            <w:tcW w:type="dxa" w:w="560"/>
            <w:tcBorders>
              <w:top w:val="single" w:color="CCCCCC" w:sz="4"/>
              <w:left w:val="single" w:color="CCCCCC" w:sz="4"/>
              <w:bottom w:val="single" w:color="CCCCCC" w:sz="4"/>
              <w:right w:val="single" w:color="CCCCCC" w:sz="4"/>
            </w:tcBorders>
            <w:shd w:fill="1F2B45" w:val="clear"/>
            <w:tcMar>
              <w:top w:type="dxa" w:w="60"/>
              <w:left w:type="dxa" w:w="80"/>
              <w:bottom w:type="dxa" w:w="60"/>
              <w:right w:type="dxa" w:w="80"/>
            </w:tcMar>
          </w:tcPr>
          <w:p>
            <w:r>
              <w:rPr>
                <w:rFonts w:ascii="Calibri" w:cs="Calibri" w:eastAsia="Calibri" w:hAnsi="Calibri"/>
                <w:b/>
                <w:bCs/>
                <w:color w:val="FFFFFF"/>
                <w:sz w:val="17"/>
                <w:szCs w:val="17"/>
              </w:rPr>
              <w:t xml:space="preserve">Rank</w:t>
            </w:r>
          </w:p>
        </w:tc>
        <w:tc>
          <w:tcPr>
            <w:tcW w:type="dxa" w:w="600"/>
            <w:tcBorders>
              <w:top w:val="single" w:color="CCCCCC" w:sz="4"/>
              <w:left w:val="single" w:color="CCCCCC" w:sz="4"/>
              <w:bottom w:val="single" w:color="CCCCCC" w:sz="4"/>
              <w:right w:val="single" w:color="CCCCCC" w:sz="4"/>
            </w:tcBorders>
            <w:shd w:fill="1F2B45" w:val="clear"/>
            <w:tcMar>
              <w:top w:type="dxa" w:w="60"/>
              <w:left w:type="dxa" w:w="80"/>
              <w:bottom w:type="dxa" w:w="60"/>
              <w:right w:type="dxa" w:w="80"/>
            </w:tcMar>
          </w:tcPr>
          <w:p>
            <w:r>
              <w:rPr>
                <w:rFonts w:ascii="Calibri" w:cs="Calibri" w:eastAsia="Calibri" w:hAnsi="Calibri"/>
                <w:b/>
                <w:bCs/>
                <w:color w:val="FFFFFF"/>
                <w:sz w:val="17"/>
                <w:szCs w:val="17"/>
              </w:rPr>
              <w:t xml:space="preserve">Score</w:t>
            </w:r>
          </w:p>
        </w:tc>
        <w:tc>
          <w:tcPr>
            <w:tcW w:type="dxa" w:w="3200"/>
            <w:tcBorders>
              <w:top w:val="single" w:color="CCCCCC" w:sz="4"/>
              <w:left w:val="single" w:color="CCCCCC" w:sz="4"/>
              <w:bottom w:val="single" w:color="CCCCCC" w:sz="4"/>
              <w:right w:val="single" w:color="CCCCCC" w:sz="4"/>
            </w:tcBorders>
            <w:shd w:fill="1F2B45" w:val="clear"/>
            <w:tcMar>
              <w:top w:type="dxa" w:w="60"/>
              <w:left w:type="dxa" w:w="80"/>
              <w:bottom w:type="dxa" w:w="60"/>
              <w:right w:type="dxa" w:w="80"/>
            </w:tcMar>
          </w:tcPr>
          <w:p>
            <w:r>
              <w:rPr>
                <w:rFonts w:ascii="Calibri" w:cs="Calibri" w:eastAsia="Calibri" w:hAnsi="Calibri"/>
                <w:b/>
                <w:bCs/>
                <w:color w:val="FFFFFF"/>
                <w:sz w:val="17"/>
                <w:szCs w:val="17"/>
              </w:rPr>
              <w:t xml:space="preserve">Model</w:t>
            </w:r>
          </w:p>
        </w:tc>
        <w:tc>
          <w:tcPr>
            <w:tcW w:type="dxa" w:w="1800"/>
            <w:tcBorders>
              <w:top w:val="single" w:color="CCCCCC" w:sz="4"/>
              <w:left w:val="single" w:color="CCCCCC" w:sz="4"/>
              <w:bottom w:val="single" w:color="CCCCCC" w:sz="4"/>
              <w:right w:val="single" w:color="CCCCCC" w:sz="4"/>
            </w:tcBorders>
            <w:shd w:fill="1F2B45" w:val="clear"/>
            <w:tcMar>
              <w:top w:type="dxa" w:w="60"/>
              <w:left w:type="dxa" w:w="80"/>
              <w:bottom w:type="dxa" w:w="60"/>
              <w:right w:type="dxa" w:w="80"/>
            </w:tcMar>
          </w:tcPr>
          <w:p>
            <w:r>
              <w:rPr>
                <w:rFonts w:ascii="Calibri" w:cs="Calibri" w:eastAsia="Calibri" w:hAnsi="Calibri"/>
                <w:b/>
                <w:bCs/>
                <w:color w:val="FFFFFF"/>
                <w:sz w:val="17"/>
                <w:szCs w:val="17"/>
              </w:rPr>
              <w:t xml:space="preserve">Developer</w:t>
            </w:r>
          </w:p>
        </w:tc>
        <w:tc>
          <w:tcPr>
            <w:tcW w:type="dxa" w:w="1200"/>
            <w:tcBorders>
              <w:top w:val="single" w:color="CCCCCC" w:sz="4"/>
              <w:left w:val="single" w:color="CCCCCC" w:sz="4"/>
              <w:bottom w:val="single" w:color="CCCCCC" w:sz="4"/>
              <w:right w:val="single" w:color="CCCCCC" w:sz="4"/>
            </w:tcBorders>
            <w:shd w:fill="1F2B45" w:val="clear"/>
            <w:tcMar>
              <w:top w:type="dxa" w:w="60"/>
              <w:left w:type="dxa" w:w="80"/>
              <w:bottom w:type="dxa" w:w="60"/>
              <w:right w:type="dxa" w:w="80"/>
            </w:tcMar>
          </w:tcPr>
          <w:p>
            <w:r>
              <w:rPr>
                <w:rFonts w:ascii="Calibri" w:cs="Calibri" w:eastAsia="Calibri" w:hAnsi="Calibri"/>
                <w:b/>
                <w:bCs/>
                <w:color w:val="FFFFFF"/>
                <w:sz w:val="17"/>
                <w:szCs w:val="17"/>
              </w:rPr>
              <w:t xml:space="preserve">Weighted Score</w:t>
            </w:r>
          </w:p>
        </w:tc>
        <w:tc>
          <w:tcPr>
            <w:tcW w:type="dxa" w:w="2000"/>
            <w:tcBorders>
              <w:top w:val="single" w:color="CCCCCC" w:sz="4"/>
              <w:left w:val="single" w:color="CCCCCC" w:sz="4"/>
              <w:bottom w:val="single" w:color="CCCCCC" w:sz="4"/>
              <w:right w:val="single" w:color="CCCCCC" w:sz="4"/>
            </w:tcBorders>
            <w:shd w:fill="1F2B45" w:val="clear"/>
            <w:tcMar>
              <w:top w:type="dxa" w:w="60"/>
              <w:left w:type="dxa" w:w="80"/>
              <w:bottom w:type="dxa" w:w="60"/>
              <w:right w:type="dxa" w:w="80"/>
            </w:tcMar>
          </w:tcPr>
          <w:p>
            <w:r>
              <w:rPr>
                <w:rFonts w:ascii="Calibri" w:cs="Calibri" w:eastAsia="Calibri" w:hAnsi="Calibri"/>
                <w:b/>
                <w:bCs/>
                <w:color w:val="FFFFFF"/>
                <w:sz w:val="17"/>
                <w:szCs w:val="17"/>
              </w:rPr>
              <w:t xml:space="preserve">Criteria Leader</w:t>
            </w:r>
          </w:p>
        </w:tc>
      </w:tr>
      <w:tr>
        <w:tc>
          <w:tcPr>
            <w:tcW w:type="dxa" w:w="560"/>
            <w:tcBorders>
              <w:top w:val="single" w:color="CCCCCC" w:sz="4"/>
              <w:left w:val="single" w:color="CCCCCC" w:sz="4"/>
              <w:bottom w:val="single" w:color="CCCCCC" w:sz="4"/>
              <w:right w:val="single" w:color="CCCCCC" w:sz="4"/>
            </w:tcBorders>
            <w:shd w:fill="F5F7FA" w:val="clear"/>
            <w:tcMar>
              <w:top w:type="dxa" w:w="60"/>
              <w:left w:type="dxa" w:w="80"/>
              <w:bottom w:type="dxa" w:w="60"/>
              <w:right w:type="dxa" w:w="80"/>
            </w:tcMar>
          </w:tcPr>
          <w:p>
            <w:pPr>
              <w:jc w:val="center"/>
            </w:pPr>
            <w:r>
              <w:rPr>
                <w:rFonts w:ascii="Calibri" w:cs="Calibri" w:eastAsia="Calibri" w:hAnsi="Calibri"/>
                <w:b/>
                <w:bCs/>
                <w:color w:val="1F2B45"/>
                <w:sz w:val="17"/>
                <w:szCs w:val="17"/>
              </w:rPr>
              <w:t xml:space="preserve">#1</w:t>
            </w:r>
          </w:p>
        </w:tc>
        <w:tc>
          <w:tcPr>
            <w:tcW w:type="dxa" w:w="600"/>
            <w:tcBorders>
              <w:top w:val="single" w:color="CCCCCC" w:sz="4"/>
              <w:left w:val="single" w:color="CCCCCC" w:sz="4"/>
              <w:bottom w:val="single" w:color="CCCCCC" w:sz="4"/>
              <w:right w:val="single" w:color="CCCCCC" w:sz="4"/>
            </w:tcBorders>
            <w:shd w:fill="F5F7FA" w:val="clear"/>
            <w:tcMar>
              <w:top w:type="dxa" w:w="60"/>
              <w:left w:type="dxa" w:w="60"/>
              <w:bottom w:type="dxa" w:w="60"/>
              <w:right w:type="dxa" w:w="60"/>
            </w:tcMar>
          </w:tcPr>
          <w:p>
            <w:pPr>
              <w:jc w:val="center"/>
            </w:pPr>
            <w:r>
              <w:rPr>
                <w:rFonts w:ascii="Calibri" w:cs="Calibri" w:eastAsia="Calibri" w:hAnsi="Calibri"/>
                <w:b/>
                <w:bCs/>
                <w:color w:val="C9A84C"/>
                <w:sz w:val="17"/>
                <w:szCs w:val="17"/>
              </w:rPr>
              <w:t xml:space="preserve">8.50</w:t>
            </w:r>
          </w:p>
        </w:tc>
        <w:tc>
          <w:tcPr>
            <w:tcW w:type="dxa" w:w="3200"/>
            <w:tcBorders>
              <w:top w:val="single" w:color="CCCCCC" w:sz="4"/>
              <w:left w:val="single" w:color="CCCCCC" w:sz="4"/>
              <w:bottom w:val="single" w:color="CCCCCC" w:sz="4"/>
              <w:right w:val="single" w:color="CCCCCC" w:sz="4"/>
            </w:tcBorders>
            <w:shd w:fill="F5F7FA" w:val="clear"/>
            <w:tcMar>
              <w:top w:type="dxa" w:w="60"/>
              <w:left w:type="dxa" w:w="80"/>
              <w:bottom w:type="dxa" w:w="60"/>
              <w:right w:type="dxa" w:w="80"/>
            </w:tcMar>
          </w:tcPr>
          <w:p>
            <w:r>
              <w:rPr>
                <w:rFonts w:ascii="Calibri" w:cs="Calibri" w:eastAsia="Calibri" w:hAnsi="Calibri"/>
                <w:b/>
                <w:bCs/>
                <w:color w:val="1F2B45"/>
                <w:sz w:val="17"/>
                <w:szCs w:val="17"/>
              </w:rPr>
              <w:t xml:space="preserve">GPT-5.4</w:t>
            </w:r>
          </w:p>
        </w:tc>
        <w:tc>
          <w:tcPr>
            <w:tcW w:type="dxa" w:w="1800"/>
            <w:tcBorders>
              <w:top w:val="single" w:color="CCCCCC" w:sz="4"/>
              <w:left w:val="single" w:color="CCCCCC" w:sz="4"/>
              <w:bottom w:val="single" w:color="CCCCCC" w:sz="4"/>
              <w:right w:val="single" w:color="CCCCCC" w:sz="4"/>
            </w:tcBorders>
            <w:shd w:fill="F5F7FA" w:val="clear"/>
            <w:tcMar>
              <w:top w:type="dxa" w:w="60"/>
              <w:left w:type="dxa" w:w="80"/>
              <w:bottom w:type="dxa" w:w="60"/>
              <w:right w:type="dxa" w:w="80"/>
            </w:tcMar>
          </w:tcPr>
          <w:p>
            <w:r>
              <w:rPr>
                <w:rFonts w:ascii="Calibri" w:cs="Calibri" w:eastAsia="Calibri" w:hAnsi="Calibri"/>
                <w:color w:val="595959"/>
                <w:sz w:val="16"/>
                <w:szCs w:val="16"/>
              </w:rPr>
              <w:t xml:space="preserve">OpenAI</w:t>
            </w:r>
          </w:p>
        </w:tc>
        <w:tc>
          <w:tcPr>
            <w:tcW w:type="dxa" w:w="1200"/>
            <w:tcBorders>
              <w:top w:val="single" w:color="CCCCCC" w:sz="4"/>
              <w:left w:val="single" w:color="CCCCCC" w:sz="4"/>
              <w:bottom w:val="single" w:color="CCCCCC" w:sz="4"/>
              <w:right w:val="single" w:color="CCCCCC" w:sz="4"/>
            </w:tcBorders>
            <w:shd w:fill="F5F7FA" w:val="clear"/>
            <w:tcMar>
              <w:top w:type="dxa" w:w="60"/>
              <w:left w:type="dxa" w:w="60"/>
              <w:bottom w:type="dxa" w:w="60"/>
              <w:right w:type="dxa" w:w="60"/>
            </w:tcMar>
          </w:tcPr>
          <w:p>
            <w:pPr>
              <w:jc w:val="center"/>
            </w:pPr>
            <w:r>
              <w:rPr>
                <w:rFonts w:ascii="Calibri" w:cs="Calibri" w:eastAsia="Calibri" w:hAnsi="Calibri"/>
                <w:color w:val="595959"/>
                <w:sz w:val="16"/>
                <w:szCs w:val="16"/>
              </w:rPr>
              <w:t xml:space="preserve">8.50/10</w:t>
            </w:r>
          </w:p>
        </w:tc>
        <w:tc>
          <w:tcPr>
            <w:tcW w:type="dxa" w:w="2000"/>
            <w:tcBorders>
              <w:top w:val="single" w:color="CCCCCC" w:sz="4"/>
              <w:left w:val="single" w:color="CCCCCC" w:sz="4"/>
              <w:bottom w:val="single" w:color="CCCCCC" w:sz="4"/>
              <w:right w:val="single" w:color="CCCCCC" w:sz="4"/>
            </w:tcBorders>
            <w:shd w:fill="F5F7FA" w:val="clear"/>
            <w:tcMar>
              <w:top w:type="dxa" w:w="60"/>
              <w:left w:type="dxa" w:w="80"/>
              <w:bottom w:type="dxa" w:w="60"/>
              <w:right w:type="dxa" w:w="80"/>
            </w:tcMar>
          </w:tcPr>
          <w:p>
            <w:r>
              <w:rPr>
                <w:rFonts w:ascii="Calibri" w:cs="Calibri" w:eastAsia="Calibri" w:hAnsi="Calibri"/>
                <w:i/>
                <w:iCs/>
                <w:color w:val="595959"/>
                <w:sz w:val="15"/>
                <w:szCs w:val="15"/>
              </w:rPr>
              <w:t xml:space="preserve">Enterprise Adoption</w:t>
            </w:r>
          </w:p>
        </w:tc>
      </w:tr>
      <w:tr>
        <w:tc>
          <w:tcPr>
            <w:tcW w:type="dxa" w:w="560"/>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pPr>
              <w:jc w:val="center"/>
            </w:pPr>
            <w:r>
              <w:rPr>
                <w:rFonts w:ascii="Calibri" w:cs="Calibri" w:eastAsia="Calibri" w:hAnsi="Calibri"/>
                <w:b/>
                <w:bCs/>
                <w:color w:val="1F2B45"/>
                <w:sz w:val="17"/>
                <w:szCs w:val="17"/>
              </w:rPr>
              <w:t xml:space="preserve">#2</w:t>
            </w:r>
          </w:p>
        </w:tc>
        <w:tc>
          <w:tcPr>
            <w:tcW w:type="dxa" w:w="600"/>
            <w:tcBorders>
              <w:top w:val="single" w:color="CCCCCC" w:sz="4"/>
              <w:left w:val="single" w:color="CCCCCC" w:sz="4"/>
              <w:bottom w:val="single" w:color="CCCCCC" w:sz="4"/>
              <w:right w:val="single" w:color="CCCCCC" w:sz="4"/>
            </w:tcBorders>
            <w:shd w:fill="FFFFFF" w:val="clear"/>
            <w:tcMar>
              <w:top w:type="dxa" w:w="60"/>
              <w:left w:type="dxa" w:w="60"/>
              <w:bottom w:type="dxa" w:w="60"/>
              <w:right w:type="dxa" w:w="60"/>
            </w:tcMar>
          </w:tcPr>
          <w:p>
            <w:pPr>
              <w:jc w:val="center"/>
            </w:pPr>
            <w:r>
              <w:rPr>
                <w:rFonts w:ascii="Calibri" w:cs="Calibri" w:eastAsia="Calibri" w:hAnsi="Calibri"/>
                <w:b/>
                <w:bCs/>
                <w:color w:val="C9A84C"/>
                <w:sz w:val="17"/>
                <w:szCs w:val="17"/>
              </w:rPr>
              <w:t xml:space="preserve">8.20</w:t>
            </w:r>
          </w:p>
        </w:tc>
        <w:tc>
          <w:tcPr>
            <w:tcW w:type="dxa" w:w="3200"/>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r>
              <w:rPr>
                <w:rFonts w:ascii="Calibri" w:cs="Calibri" w:eastAsia="Calibri" w:hAnsi="Calibri"/>
                <w:b/>
                <w:bCs/>
                <w:color w:val="1F2B45"/>
                <w:sz w:val="17"/>
                <w:szCs w:val="17"/>
              </w:rPr>
              <w:t xml:space="preserve">Gemini 3.1 Pro</w:t>
            </w:r>
          </w:p>
        </w:tc>
        <w:tc>
          <w:tcPr>
            <w:tcW w:type="dxa" w:w="1800"/>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r>
              <w:rPr>
                <w:rFonts w:ascii="Calibri" w:cs="Calibri" w:eastAsia="Calibri" w:hAnsi="Calibri"/>
                <w:color w:val="595959"/>
                <w:sz w:val="16"/>
                <w:szCs w:val="16"/>
              </w:rPr>
              <w:t xml:space="preserve">Google</w:t>
            </w:r>
          </w:p>
        </w:tc>
        <w:tc>
          <w:tcPr>
            <w:tcW w:type="dxa" w:w="1200"/>
            <w:tcBorders>
              <w:top w:val="single" w:color="CCCCCC" w:sz="4"/>
              <w:left w:val="single" w:color="CCCCCC" w:sz="4"/>
              <w:bottom w:val="single" w:color="CCCCCC" w:sz="4"/>
              <w:right w:val="single" w:color="CCCCCC" w:sz="4"/>
            </w:tcBorders>
            <w:shd w:fill="FFFFFF" w:val="clear"/>
            <w:tcMar>
              <w:top w:type="dxa" w:w="60"/>
              <w:left w:type="dxa" w:w="60"/>
              <w:bottom w:type="dxa" w:w="60"/>
              <w:right w:type="dxa" w:w="60"/>
            </w:tcMar>
          </w:tcPr>
          <w:p>
            <w:pPr>
              <w:jc w:val="center"/>
            </w:pPr>
            <w:r>
              <w:rPr>
                <w:rFonts w:ascii="Calibri" w:cs="Calibri" w:eastAsia="Calibri" w:hAnsi="Calibri"/>
                <w:color w:val="595959"/>
                <w:sz w:val="16"/>
                <w:szCs w:val="16"/>
              </w:rPr>
              <w:t xml:space="preserve">8.20/10</w:t>
            </w:r>
          </w:p>
        </w:tc>
        <w:tc>
          <w:tcPr>
            <w:tcW w:type="dxa" w:w="2000"/>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r>
              <w:rPr>
                <w:rFonts w:ascii="Calibri" w:cs="Calibri" w:eastAsia="Calibri" w:hAnsi="Calibri"/>
                <w:i/>
                <w:iCs/>
                <w:color w:val="595959"/>
                <w:sz w:val="15"/>
                <w:szCs w:val="15"/>
              </w:rPr>
              <w:t xml:space="preserve">Benchmark Perf.</w:t>
            </w:r>
          </w:p>
        </w:tc>
      </w:tr>
      <w:tr>
        <w:tc>
          <w:tcPr>
            <w:tcW w:type="dxa" w:w="560"/>
            <w:tcBorders>
              <w:top w:val="single" w:color="CCCCCC" w:sz="4"/>
              <w:left w:val="single" w:color="CCCCCC" w:sz="4"/>
              <w:bottom w:val="single" w:color="CCCCCC" w:sz="4"/>
              <w:right w:val="single" w:color="CCCCCC" w:sz="4"/>
            </w:tcBorders>
            <w:shd w:fill="F5F7FA" w:val="clear"/>
            <w:tcMar>
              <w:top w:type="dxa" w:w="60"/>
              <w:left w:type="dxa" w:w="80"/>
              <w:bottom w:type="dxa" w:w="60"/>
              <w:right w:type="dxa" w:w="80"/>
            </w:tcMar>
          </w:tcPr>
          <w:p>
            <w:pPr>
              <w:jc w:val="center"/>
            </w:pPr>
            <w:r>
              <w:rPr>
                <w:rFonts w:ascii="Calibri" w:cs="Calibri" w:eastAsia="Calibri" w:hAnsi="Calibri"/>
                <w:b/>
                <w:bCs/>
                <w:color w:val="1F2B45"/>
                <w:sz w:val="17"/>
                <w:szCs w:val="17"/>
              </w:rPr>
              <w:t xml:space="preserve">#3</w:t>
            </w:r>
          </w:p>
        </w:tc>
        <w:tc>
          <w:tcPr>
            <w:tcW w:type="dxa" w:w="600"/>
            <w:tcBorders>
              <w:top w:val="single" w:color="CCCCCC" w:sz="4"/>
              <w:left w:val="single" w:color="CCCCCC" w:sz="4"/>
              <w:bottom w:val="single" w:color="CCCCCC" w:sz="4"/>
              <w:right w:val="single" w:color="CCCCCC" w:sz="4"/>
            </w:tcBorders>
            <w:shd w:fill="F5F7FA" w:val="clear"/>
            <w:tcMar>
              <w:top w:type="dxa" w:w="60"/>
              <w:left w:type="dxa" w:w="60"/>
              <w:bottom w:type="dxa" w:w="60"/>
              <w:right w:type="dxa" w:w="60"/>
            </w:tcMar>
          </w:tcPr>
          <w:p>
            <w:pPr>
              <w:jc w:val="center"/>
            </w:pPr>
            <w:r>
              <w:rPr>
                <w:rFonts w:ascii="Calibri" w:cs="Calibri" w:eastAsia="Calibri" w:hAnsi="Calibri"/>
                <w:b/>
                <w:bCs/>
                <w:color w:val="C9A84C"/>
                <w:sz w:val="17"/>
                <w:szCs w:val="17"/>
              </w:rPr>
              <w:t xml:space="preserve">7.80</w:t>
            </w:r>
          </w:p>
        </w:tc>
        <w:tc>
          <w:tcPr>
            <w:tcW w:type="dxa" w:w="3200"/>
            <w:tcBorders>
              <w:top w:val="single" w:color="CCCCCC" w:sz="4"/>
              <w:left w:val="single" w:color="CCCCCC" w:sz="4"/>
              <w:bottom w:val="single" w:color="CCCCCC" w:sz="4"/>
              <w:right w:val="single" w:color="CCCCCC" w:sz="4"/>
            </w:tcBorders>
            <w:shd w:fill="F5F7FA" w:val="clear"/>
            <w:tcMar>
              <w:top w:type="dxa" w:w="60"/>
              <w:left w:type="dxa" w:w="80"/>
              <w:bottom w:type="dxa" w:w="60"/>
              <w:right w:type="dxa" w:w="80"/>
            </w:tcMar>
          </w:tcPr>
          <w:p>
            <w:r>
              <w:rPr>
                <w:rFonts w:ascii="Calibri" w:cs="Calibri" w:eastAsia="Calibri" w:hAnsi="Calibri"/>
                <w:b/>
                <w:bCs/>
                <w:color w:val="1F2B45"/>
                <w:sz w:val="17"/>
                <w:szCs w:val="17"/>
              </w:rPr>
              <w:t xml:space="preserve">Microsoft Copilot</w:t>
            </w:r>
          </w:p>
        </w:tc>
        <w:tc>
          <w:tcPr>
            <w:tcW w:type="dxa" w:w="1800"/>
            <w:tcBorders>
              <w:top w:val="single" w:color="CCCCCC" w:sz="4"/>
              <w:left w:val="single" w:color="CCCCCC" w:sz="4"/>
              <w:bottom w:val="single" w:color="CCCCCC" w:sz="4"/>
              <w:right w:val="single" w:color="CCCCCC" w:sz="4"/>
            </w:tcBorders>
            <w:shd w:fill="F5F7FA" w:val="clear"/>
            <w:tcMar>
              <w:top w:type="dxa" w:w="60"/>
              <w:left w:type="dxa" w:w="80"/>
              <w:bottom w:type="dxa" w:w="60"/>
              <w:right w:type="dxa" w:w="80"/>
            </w:tcMar>
          </w:tcPr>
          <w:p>
            <w:r>
              <w:rPr>
                <w:rFonts w:ascii="Calibri" w:cs="Calibri" w:eastAsia="Calibri" w:hAnsi="Calibri"/>
                <w:color w:val="595959"/>
                <w:sz w:val="16"/>
                <w:szCs w:val="16"/>
              </w:rPr>
              <w:t xml:space="preserve">Microsoft</w:t>
            </w:r>
          </w:p>
        </w:tc>
        <w:tc>
          <w:tcPr>
            <w:tcW w:type="dxa" w:w="1200"/>
            <w:tcBorders>
              <w:top w:val="single" w:color="CCCCCC" w:sz="4"/>
              <w:left w:val="single" w:color="CCCCCC" w:sz="4"/>
              <w:bottom w:val="single" w:color="CCCCCC" w:sz="4"/>
              <w:right w:val="single" w:color="CCCCCC" w:sz="4"/>
            </w:tcBorders>
            <w:shd w:fill="F5F7FA" w:val="clear"/>
            <w:tcMar>
              <w:top w:type="dxa" w:w="60"/>
              <w:left w:type="dxa" w:w="60"/>
              <w:bottom w:type="dxa" w:w="60"/>
              <w:right w:type="dxa" w:w="60"/>
            </w:tcMar>
          </w:tcPr>
          <w:p>
            <w:pPr>
              <w:jc w:val="center"/>
            </w:pPr>
            <w:r>
              <w:rPr>
                <w:rFonts w:ascii="Calibri" w:cs="Calibri" w:eastAsia="Calibri" w:hAnsi="Calibri"/>
                <w:color w:val="595959"/>
                <w:sz w:val="16"/>
                <w:szCs w:val="16"/>
              </w:rPr>
              <w:t xml:space="preserve">7.80/10</w:t>
            </w:r>
          </w:p>
        </w:tc>
        <w:tc>
          <w:tcPr>
            <w:tcW w:type="dxa" w:w="2000"/>
            <w:tcBorders>
              <w:top w:val="single" w:color="CCCCCC" w:sz="4"/>
              <w:left w:val="single" w:color="CCCCCC" w:sz="4"/>
              <w:bottom w:val="single" w:color="CCCCCC" w:sz="4"/>
              <w:right w:val="single" w:color="CCCCCC" w:sz="4"/>
            </w:tcBorders>
            <w:shd w:fill="F5F7FA" w:val="clear"/>
            <w:tcMar>
              <w:top w:type="dxa" w:w="60"/>
              <w:left w:type="dxa" w:w="80"/>
              <w:bottom w:type="dxa" w:w="60"/>
              <w:right w:type="dxa" w:w="80"/>
            </w:tcMar>
          </w:tcPr>
          <w:p>
            <w:r>
              <w:rPr>
                <w:rFonts w:ascii="Calibri" w:cs="Calibri" w:eastAsia="Calibri" w:hAnsi="Calibri"/>
                <w:i/>
                <w:iCs/>
                <w:color w:val="595959"/>
                <w:sz w:val="15"/>
                <w:szCs w:val="15"/>
              </w:rPr>
              <w:t xml:space="preserve">Enterprise Adoption</w:t>
            </w:r>
          </w:p>
        </w:tc>
      </w:tr>
      <w:tr>
        <w:tc>
          <w:tcPr>
            <w:tcW w:type="dxa" w:w="560"/>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pPr>
              <w:jc w:val="center"/>
            </w:pPr>
            <w:r>
              <w:rPr>
                <w:rFonts w:ascii="Calibri" w:cs="Calibri" w:eastAsia="Calibri" w:hAnsi="Calibri"/>
                <w:b/>
                <w:bCs/>
                <w:color w:val="1F2B45"/>
                <w:sz w:val="17"/>
                <w:szCs w:val="17"/>
              </w:rPr>
              <w:t xml:space="preserve">#4</w:t>
            </w:r>
          </w:p>
        </w:tc>
        <w:tc>
          <w:tcPr>
            <w:tcW w:type="dxa" w:w="600"/>
            <w:tcBorders>
              <w:top w:val="single" w:color="CCCCCC" w:sz="4"/>
              <w:left w:val="single" w:color="CCCCCC" w:sz="4"/>
              <w:bottom w:val="single" w:color="CCCCCC" w:sz="4"/>
              <w:right w:val="single" w:color="CCCCCC" w:sz="4"/>
            </w:tcBorders>
            <w:shd w:fill="FFFFFF" w:val="clear"/>
            <w:tcMar>
              <w:top w:type="dxa" w:w="60"/>
              <w:left w:type="dxa" w:w="60"/>
              <w:bottom w:type="dxa" w:w="60"/>
              <w:right w:type="dxa" w:w="60"/>
            </w:tcMar>
          </w:tcPr>
          <w:p>
            <w:pPr>
              <w:jc w:val="center"/>
            </w:pPr>
            <w:r>
              <w:rPr>
                <w:rFonts w:ascii="Calibri" w:cs="Calibri" w:eastAsia="Calibri" w:hAnsi="Calibri"/>
                <w:b/>
                <w:bCs/>
                <w:color w:val="C9A84C"/>
                <w:sz w:val="17"/>
                <w:szCs w:val="17"/>
              </w:rPr>
              <w:t xml:space="preserve">7.30</w:t>
            </w:r>
          </w:p>
        </w:tc>
        <w:tc>
          <w:tcPr>
            <w:tcW w:type="dxa" w:w="3200"/>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r>
              <w:rPr>
                <w:rFonts w:ascii="Calibri" w:cs="Calibri" w:eastAsia="Calibri" w:hAnsi="Calibri"/>
                <w:b/>
                <w:bCs/>
                <w:color w:val="1F2B45"/>
                <w:sz w:val="17"/>
                <w:szCs w:val="17"/>
              </w:rPr>
              <w:t xml:space="preserve">Claude Opus 4.6</w:t>
            </w:r>
          </w:p>
        </w:tc>
        <w:tc>
          <w:tcPr>
            <w:tcW w:type="dxa" w:w="1800"/>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r>
              <w:rPr>
                <w:rFonts w:ascii="Calibri" w:cs="Calibri" w:eastAsia="Calibri" w:hAnsi="Calibri"/>
                <w:color w:val="595959"/>
                <w:sz w:val="16"/>
                <w:szCs w:val="16"/>
              </w:rPr>
              <w:t xml:space="preserve">Anthropic</w:t>
            </w:r>
          </w:p>
        </w:tc>
        <w:tc>
          <w:tcPr>
            <w:tcW w:type="dxa" w:w="1200"/>
            <w:tcBorders>
              <w:top w:val="single" w:color="CCCCCC" w:sz="4"/>
              <w:left w:val="single" w:color="CCCCCC" w:sz="4"/>
              <w:bottom w:val="single" w:color="CCCCCC" w:sz="4"/>
              <w:right w:val="single" w:color="CCCCCC" w:sz="4"/>
            </w:tcBorders>
            <w:shd w:fill="FFFFFF" w:val="clear"/>
            <w:tcMar>
              <w:top w:type="dxa" w:w="60"/>
              <w:left w:type="dxa" w:w="60"/>
              <w:bottom w:type="dxa" w:w="60"/>
              <w:right w:type="dxa" w:w="60"/>
            </w:tcMar>
          </w:tcPr>
          <w:p>
            <w:pPr>
              <w:jc w:val="center"/>
            </w:pPr>
            <w:r>
              <w:rPr>
                <w:rFonts w:ascii="Calibri" w:cs="Calibri" w:eastAsia="Calibri" w:hAnsi="Calibri"/>
                <w:color w:val="595959"/>
                <w:sz w:val="16"/>
                <w:szCs w:val="16"/>
              </w:rPr>
              <w:t xml:space="preserve">7.30/10</w:t>
            </w:r>
          </w:p>
        </w:tc>
        <w:tc>
          <w:tcPr>
            <w:tcW w:type="dxa" w:w="2000"/>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r>
              <w:rPr>
                <w:rFonts w:ascii="Calibri" w:cs="Calibri" w:eastAsia="Calibri" w:hAnsi="Calibri"/>
                <w:i/>
                <w:iCs/>
                <w:color w:val="595959"/>
                <w:sz w:val="15"/>
                <w:szCs w:val="15"/>
              </w:rPr>
              <w:t xml:space="preserve">Benchmark Perf.</w:t>
            </w:r>
          </w:p>
        </w:tc>
      </w:tr>
      <w:tr>
        <w:tc>
          <w:tcPr>
            <w:tcW w:type="dxa" w:w="560"/>
            <w:tcBorders>
              <w:top w:val="single" w:color="CCCCCC" w:sz="4"/>
              <w:left w:val="single" w:color="CCCCCC" w:sz="4"/>
              <w:bottom w:val="single" w:color="CCCCCC" w:sz="4"/>
              <w:right w:val="single" w:color="CCCCCC" w:sz="4"/>
            </w:tcBorders>
            <w:shd w:fill="F5F7FA" w:val="clear"/>
            <w:tcMar>
              <w:top w:type="dxa" w:w="60"/>
              <w:left w:type="dxa" w:w="80"/>
              <w:bottom w:type="dxa" w:w="60"/>
              <w:right w:type="dxa" w:w="80"/>
            </w:tcMar>
          </w:tcPr>
          <w:p>
            <w:pPr>
              <w:jc w:val="center"/>
            </w:pPr>
            <w:r>
              <w:rPr>
                <w:rFonts w:ascii="Calibri" w:cs="Calibri" w:eastAsia="Calibri" w:hAnsi="Calibri"/>
                <w:b/>
                <w:bCs/>
                <w:color w:val="1F2B45"/>
                <w:sz w:val="17"/>
                <w:szCs w:val="17"/>
              </w:rPr>
              <w:t xml:space="preserve">#5</w:t>
            </w:r>
          </w:p>
        </w:tc>
        <w:tc>
          <w:tcPr>
            <w:tcW w:type="dxa" w:w="600"/>
            <w:tcBorders>
              <w:top w:val="single" w:color="CCCCCC" w:sz="4"/>
              <w:left w:val="single" w:color="CCCCCC" w:sz="4"/>
              <w:bottom w:val="single" w:color="CCCCCC" w:sz="4"/>
              <w:right w:val="single" w:color="CCCCCC" w:sz="4"/>
            </w:tcBorders>
            <w:shd w:fill="F5F7FA" w:val="clear"/>
            <w:tcMar>
              <w:top w:type="dxa" w:w="60"/>
              <w:left w:type="dxa" w:w="60"/>
              <w:bottom w:type="dxa" w:w="60"/>
              <w:right w:type="dxa" w:w="60"/>
            </w:tcMar>
          </w:tcPr>
          <w:p>
            <w:pPr>
              <w:jc w:val="center"/>
            </w:pPr>
            <w:r>
              <w:rPr>
                <w:rFonts w:ascii="Calibri" w:cs="Calibri" w:eastAsia="Calibri" w:hAnsi="Calibri"/>
                <w:b/>
                <w:bCs/>
                <w:color w:val="C9A84C"/>
                <w:sz w:val="17"/>
                <w:szCs w:val="17"/>
              </w:rPr>
              <w:t xml:space="preserve">7.15</w:t>
            </w:r>
          </w:p>
        </w:tc>
        <w:tc>
          <w:tcPr>
            <w:tcW w:type="dxa" w:w="3200"/>
            <w:tcBorders>
              <w:top w:val="single" w:color="CCCCCC" w:sz="4"/>
              <w:left w:val="single" w:color="CCCCCC" w:sz="4"/>
              <w:bottom w:val="single" w:color="CCCCCC" w:sz="4"/>
              <w:right w:val="single" w:color="CCCCCC" w:sz="4"/>
            </w:tcBorders>
            <w:shd w:fill="F5F7FA" w:val="clear"/>
            <w:tcMar>
              <w:top w:type="dxa" w:w="60"/>
              <w:left w:type="dxa" w:w="80"/>
              <w:bottom w:type="dxa" w:w="60"/>
              <w:right w:type="dxa" w:w="80"/>
            </w:tcMar>
          </w:tcPr>
          <w:p>
            <w:r>
              <w:rPr>
                <w:rFonts w:ascii="Calibri" w:cs="Calibri" w:eastAsia="Calibri" w:hAnsi="Calibri"/>
                <w:b/>
                <w:bCs/>
                <w:color w:val="1F2B45"/>
                <w:sz w:val="17"/>
                <w:szCs w:val="17"/>
              </w:rPr>
              <w:t xml:space="preserve">Llama 4 Maverick</w:t>
            </w:r>
          </w:p>
        </w:tc>
        <w:tc>
          <w:tcPr>
            <w:tcW w:type="dxa" w:w="1800"/>
            <w:tcBorders>
              <w:top w:val="single" w:color="CCCCCC" w:sz="4"/>
              <w:left w:val="single" w:color="CCCCCC" w:sz="4"/>
              <w:bottom w:val="single" w:color="CCCCCC" w:sz="4"/>
              <w:right w:val="single" w:color="CCCCCC" w:sz="4"/>
            </w:tcBorders>
            <w:shd w:fill="F5F7FA" w:val="clear"/>
            <w:tcMar>
              <w:top w:type="dxa" w:w="60"/>
              <w:left w:type="dxa" w:w="80"/>
              <w:bottom w:type="dxa" w:w="60"/>
              <w:right w:type="dxa" w:w="80"/>
            </w:tcMar>
          </w:tcPr>
          <w:p>
            <w:r>
              <w:rPr>
                <w:rFonts w:ascii="Calibri" w:cs="Calibri" w:eastAsia="Calibri" w:hAnsi="Calibri"/>
                <w:color w:val="595959"/>
                <w:sz w:val="16"/>
                <w:szCs w:val="16"/>
              </w:rPr>
              <w:t xml:space="preserve">Meta</w:t>
            </w:r>
          </w:p>
        </w:tc>
        <w:tc>
          <w:tcPr>
            <w:tcW w:type="dxa" w:w="1200"/>
            <w:tcBorders>
              <w:top w:val="single" w:color="CCCCCC" w:sz="4"/>
              <w:left w:val="single" w:color="CCCCCC" w:sz="4"/>
              <w:bottom w:val="single" w:color="CCCCCC" w:sz="4"/>
              <w:right w:val="single" w:color="CCCCCC" w:sz="4"/>
            </w:tcBorders>
            <w:shd w:fill="F5F7FA" w:val="clear"/>
            <w:tcMar>
              <w:top w:type="dxa" w:w="60"/>
              <w:left w:type="dxa" w:w="60"/>
              <w:bottom w:type="dxa" w:w="60"/>
              <w:right w:type="dxa" w:w="60"/>
            </w:tcMar>
          </w:tcPr>
          <w:p>
            <w:pPr>
              <w:jc w:val="center"/>
            </w:pPr>
            <w:r>
              <w:rPr>
                <w:rFonts w:ascii="Calibri" w:cs="Calibri" w:eastAsia="Calibri" w:hAnsi="Calibri"/>
                <w:color w:val="595959"/>
                <w:sz w:val="16"/>
                <w:szCs w:val="16"/>
              </w:rPr>
              <w:t xml:space="preserve">7.15/10</w:t>
            </w:r>
          </w:p>
        </w:tc>
        <w:tc>
          <w:tcPr>
            <w:tcW w:type="dxa" w:w="2000"/>
            <w:tcBorders>
              <w:top w:val="single" w:color="CCCCCC" w:sz="4"/>
              <w:left w:val="single" w:color="CCCCCC" w:sz="4"/>
              <w:bottom w:val="single" w:color="CCCCCC" w:sz="4"/>
              <w:right w:val="single" w:color="CCCCCC" w:sz="4"/>
            </w:tcBorders>
            <w:shd w:fill="F5F7FA" w:val="clear"/>
            <w:tcMar>
              <w:top w:type="dxa" w:w="60"/>
              <w:left w:type="dxa" w:w="80"/>
              <w:bottom w:type="dxa" w:w="60"/>
              <w:right w:type="dxa" w:w="80"/>
            </w:tcMar>
          </w:tcPr>
          <w:p>
            <w:r>
              <w:rPr>
                <w:rFonts w:ascii="Calibri" w:cs="Calibri" w:eastAsia="Calibri" w:hAnsi="Calibri"/>
                <w:i/>
                <w:iCs/>
                <w:color w:val="595959"/>
                <w:sz w:val="15"/>
                <w:szCs w:val="15"/>
              </w:rPr>
              <w:t xml:space="preserve">Cost Competitiveness</w:t>
            </w:r>
          </w:p>
        </w:tc>
      </w:tr>
      <w:tr>
        <w:tc>
          <w:tcPr>
            <w:tcW w:type="dxa" w:w="560"/>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pPr>
              <w:jc w:val="center"/>
            </w:pPr>
            <w:r>
              <w:rPr>
                <w:rFonts w:ascii="Calibri" w:cs="Calibri" w:eastAsia="Calibri" w:hAnsi="Calibri"/>
                <w:b/>
                <w:bCs/>
                <w:color w:val="1F2B45"/>
                <w:sz w:val="17"/>
                <w:szCs w:val="17"/>
              </w:rPr>
              <w:t xml:space="preserve">#6</w:t>
            </w:r>
          </w:p>
        </w:tc>
        <w:tc>
          <w:tcPr>
            <w:tcW w:type="dxa" w:w="600"/>
            <w:tcBorders>
              <w:top w:val="single" w:color="CCCCCC" w:sz="4"/>
              <w:left w:val="single" w:color="CCCCCC" w:sz="4"/>
              <w:bottom w:val="single" w:color="CCCCCC" w:sz="4"/>
              <w:right w:val="single" w:color="CCCCCC" w:sz="4"/>
            </w:tcBorders>
            <w:shd w:fill="FFFFFF" w:val="clear"/>
            <w:tcMar>
              <w:top w:type="dxa" w:w="60"/>
              <w:left w:type="dxa" w:w="60"/>
              <w:bottom w:type="dxa" w:w="60"/>
              <w:right w:type="dxa" w:w="60"/>
            </w:tcMar>
          </w:tcPr>
          <w:p>
            <w:pPr>
              <w:jc w:val="center"/>
            </w:pPr>
            <w:r>
              <w:rPr>
                <w:rFonts w:ascii="Calibri" w:cs="Calibri" w:eastAsia="Calibri" w:hAnsi="Calibri"/>
                <w:b/>
                <w:bCs/>
                <w:color w:val="C9A84C"/>
                <w:sz w:val="17"/>
                <w:szCs w:val="17"/>
              </w:rPr>
              <w:t xml:space="preserve">6.00</w:t>
            </w:r>
          </w:p>
        </w:tc>
        <w:tc>
          <w:tcPr>
            <w:tcW w:type="dxa" w:w="3200"/>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r>
              <w:rPr>
                <w:rFonts w:ascii="Calibri" w:cs="Calibri" w:eastAsia="Calibri" w:hAnsi="Calibri"/>
                <w:b/>
                <w:bCs/>
                <w:color w:val="1F2B45"/>
                <w:sz w:val="17"/>
                <w:szCs w:val="17"/>
              </w:rPr>
              <w:t xml:space="preserve">Grok 4.1</w:t>
            </w:r>
          </w:p>
        </w:tc>
        <w:tc>
          <w:tcPr>
            <w:tcW w:type="dxa" w:w="1800"/>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r>
              <w:rPr>
                <w:rFonts w:ascii="Calibri" w:cs="Calibri" w:eastAsia="Calibri" w:hAnsi="Calibri"/>
                <w:color w:val="595959"/>
                <w:sz w:val="16"/>
                <w:szCs w:val="16"/>
              </w:rPr>
              <w:t xml:space="preserve">xAI</w:t>
            </w:r>
          </w:p>
        </w:tc>
        <w:tc>
          <w:tcPr>
            <w:tcW w:type="dxa" w:w="1200"/>
            <w:tcBorders>
              <w:top w:val="single" w:color="CCCCCC" w:sz="4"/>
              <w:left w:val="single" w:color="CCCCCC" w:sz="4"/>
              <w:bottom w:val="single" w:color="CCCCCC" w:sz="4"/>
              <w:right w:val="single" w:color="CCCCCC" w:sz="4"/>
            </w:tcBorders>
            <w:shd w:fill="FFFFFF" w:val="clear"/>
            <w:tcMar>
              <w:top w:type="dxa" w:w="60"/>
              <w:left w:type="dxa" w:w="60"/>
              <w:bottom w:type="dxa" w:w="60"/>
              <w:right w:type="dxa" w:w="60"/>
            </w:tcMar>
          </w:tcPr>
          <w:p>
            <w:pPr>
              <w:jc w:val="center"/>
            </w:pPr>
            <w:r>
              <w:rPr>
                <w:rFonts w:ascii="Calibri" w:cs="Calibri" w:eastAsia="Calibri" w:hAnsi="Calibri"/>
                <w:color w:val="595959"/>
                <w:sz w:val="16"/>
                <w:szCs w:val="16"/>
              </w:rPr>
              <w:t xml:space="preserve">6.00/10</w:t>
            </w:r>
          </w:p>
        </w:tc>
        <w:tc>
          <w:tcPr>
            <w:tcW w:type="dxa" w:w="2000"/>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r>
              <w:rPr>
                <w:rFonts w:ascii="Calibri" w:cs="Calibri" w:eastAsia="Calibri" w:hAnsi="Calibri"/>
                <w:i/>
                <w:iCs/>
                <w:color w:val="595959"/>
                <w:sz w:val="15"/>
                <w:szCs w:val="15"/>
              </w:rPr>
              <w:t xml:space="preserve">Cost Competitiveness</w:t>
            </w:r>
          </w:p>
        </w:tc>
      </w:tr>
      <w:tr>
        <w:tc>
          <w:tcPr>
            <w:tcW w:type="dxa" w:w="560"/>
            <w:tcBorders>
              <w:top w:val="single" w:color="CCCCCC" w:sz="4"/>
              <w:left w:val="single" w:color="CCCCCC" w:sz="4"/>
              <w:bottom w:val="single" w:color="CCCCCC" w:sz="4"/>
              <w:right w:val="single" w:color="CCCCCC" w:sz="4"/>
            </w:tcBorders>
            <w:shd w:fill="F5F7FA" w:val="clear"/>
            <w:tcMar>
              <w:top w:type="dxa" w:w="60"/>
              <w:left w:type="dxa" w:w="80"/>
              <w:bottom w:type="dxa" w:w="60"/>
              <w:right w:type="dxa" w:w="80"/>
            </w:tcMar>
          </w:tcPr>
          <w:p>
            <w:pPr>
              <w:jc w:val="center"/>
            </w:pPr>
            <w:r>
              <w:rPr>
                <w:rFonts w:ascii="Calibri" w:cs="Calibri" w:eastAsia="Calibri" w:hAnsi="Calibri"/>
                <w:b/>
                <w:bCs/>
                <w:color w:val="1F2B45"/>
                <w:sz w:val="17"/>
                <w:szCs w:val="17"/>
              </w:rPr>
              <w:t xml:space="preserve">#7</w:t>
            </w:r>
          </w:p>
        </w:tc>
        <w:tc>
          <w:tcPr>
            <w:tcW w:type="dxa" w:w="600"/>
            <w:tcBorders>
              <w:top w:val="single" w:color="CCCCCC" w:sz="4"/>
              <w:left w:val="single" w:color="CCCCCC" w:sz="4"/>
              <w:bottom w:val="single" w:color="CCCCCC" w:sz="4"/>
              <w:right w:val="single" w:color="CCCCCC" w:sz="4"/>
            </w:tcBorders>
            <w:shd w:fill="F5F7FA" w:val="clear"/>
            <w:tcMar>
              <w:top w:type="dxa" w:w="60"/>
              <w:left w:type="dxa" w:w="60"/>
              <w:bottom w:type="dxa" w:w="60"/>
              <w:right w:type="dxa" w:w="60"/>
            </w:tcMar>
          </w:tcPr>
          <w:p>
            <w:pPr>
              <w:jc w:val="center"/>
            </w:pPr>
            <w:r>
              <w:rPr>
                <w:rFonts w:ascii="Calibri" w:cs="Calibri" w:eastAsia="Calibri" w:hAnsi="Calibri"/>
                <w:b/>
                <w:bCs/>
                <w:color w:val="C9A84C"/>
                <w:sz w:val="17"/>
                <w:szCs w:val="17"/>
              </w:rPr>
              <w:t xml:space="preserve">6.00</w:t>
            </w:r>
          </w:p>
        </w:tc>
        <w:tc>
          <w:tcPr>
            <w:tcW w:type="dxa" w:w="3200"/>
            <w:tcBorders>
              <w:top w:val="single" w:color="CCCCCC" w:sz="4"/>
              <w:left w:val="single" w:color="CCCCCC" w:sz="4"/>
              <w:bottom w:val="single" w:color="CCCCCC" w:sz="4"/>
              <w:right w:val="single" w:color="CCCCCC" w:sz="4"/>
            </w:tcBorders>
            <w:shd w:fill="F5F7FA" w:val="clear"/>
            <w:tcMar>
              <w:top w:type="dxa" w:w="60"/>
              <w:left w:type="dxa" w:w="80"/>
              <w:bottom w:type="dxa" w:w="60"/>
              <w:right w:type="dxa" w:w="80"/>
            </w:tcMar>
          </w:tcPr>
          <w:p>
            <w:r>
              <w:rPr>
                <w:rFonts w:ascii="Calibri" w:cs="Calibri" w:eastAsia="Calibri" w:hAnsi="Calibri"/>
                <w:b/>
                <w:bCs/>
                <w:color w:val="1F2B45"/>
                <w:sz w:val="17"/>
                <w:szCs w:val="17"/>
              </w:rPr>
              <w:t xml:space="preserve">DeepSeek V3</w:t>
            </w:r>
          </w:p>
        </w:tc>
        <w:tc>
          <w:tcPr>
            <w:tcW w:type="dxa" w:w="1800"/>
            <w:tcBorders>
              <w:top w:val="single" w:color="CCCCCC" w:sz="4"/>
              <w:left w:val="single" w:color="CCCCCC" w:sz="4"/>
              <w:bottom w:val="single" w:color="CCCCCC" w:sz="4"/>
              <w:right w:val="single" w:color="CCCCCC" w:sz="4"/>
            </w:tcBorders>
            <w:shd w:fill="F5F7FA" w:val="clear"/>
            <w:tcMar>
              <w:top w:type="dxa" w:w="60"/>
              <w:left w:type="dxa" w:w="80"/>
              <w:bottom w:type="dxa" w:w="60"/>
              <w:right w:type="dxa" w:w="80"/>
            </w:tcMar>
          </w:tcPr>
          <w:p>
            <w:r>
              <w:rPr>
                <w:rFonts w:ascii="Calibri" w:cs="Calibri" w:eastAsia="Calibri" w:hAnsi="Calibri"/>
                <w:color w:val="595959"/>
                <w:sz w:val="16"/>
                <w:szCs w:val="16"/>
              </w:rPr>
              <w:t xml:space="preserve">DeepSeek</w:t>
            </w:r>
          </w:p>
        </w:tc>
        <w:tc>
          <w:tcPr>
            <w:tcW w:type="dxa" w:w="1200"/>
            <w:tcBorders>
              <w:top w:val="single" w:color="CCCCCC" w:sz="4"/>
              <w:left w:val="single" w:color="CCCCCC" w:sz="4"/>
              <w:bottom w:val="single" w:color="CCCCCC" w:sz="4"/>
              <w:right w:val="single" w:color="CCCCCC" w:sz="4"/>
            </w:tcBorders>
            <w:shd w:fill="F5F7FA" w:val="clear"/>
            <w:tcMar>
              <w:top w:type="dxa" w:w="60"/>
              <w:left w:type="dxa" w:w="60"/>
              <w:bottom w:type="dxa" w:w="60"/>
              <w:right w:type="dxa" w:w="60"/>
            </w:tcMar>
          </w:tcPr>
          <w:p>
            <w:pPr>
              <w:jc w:val="center"/>
            </w:pPr>
            <w:r>
              <w:rPr>
                <w:rFonts w:ascii="Calibri" w:cs="Calibri" w:eastAsia="Calibri" w:hAnsi="Calibri"/>
                <w:color w:val="595959"/>
                <w:sz w:val="16"/>
                <w:szCs w:val="16"/>
              </w:rPr>
              <w:t xml:space="preserve">6.00/10</w:t>
            </w:r>
          </w:p>
        </w:tc>
        <w:tc>
          <w:tcPr>
            <w:tcW w:type="dxa" w:w="2000"/>
            <w:tcBorders>
              <w:top w:val="single" w:color="CCCCCC" w:sz="4"/>
              <w:left w:val="single" w:color="CCCCCC" w:sz="4"/>
              <w:bottom w:val="single" w:color="CCCCCC" w:sz="4"/>
              <w:right w:val="single" w:color="CCCCCC" w:sz="4"/>
            </w:tcBorders>
            <w:shd w:fill="F5F7FA" w:val="clear"/>
            <w:tcMar>
              <w:top w:type="dxa" w:w="60"/>
              <w:left w:type="dxa" w:w="80"/>
              <w:bottom w:type="dxa" w:w="60"/>
              <w:right w:type="dxa" w:w="80"/>
            </w:tcMar>
          </w:tcPr>
          <w:p>
            <w:r>
              <w:rPr>
                <w:rFonts w:ascii="Calibri" w:cs="Calibri" w:eastAsia="Calibri" w:hAnsi="Calibri"/>
                <w:i/>
                <w:iCs/>
                <w:color w:val="595959"/>
                <w:sz w:val="15"/>
                <w:szCs w:val="15"/>
              </w:rPr>
              <w:t xml:space="preserve">Cost Competitiveness</w:t>
            </w:r>
          </w:p>
        </w:tc>
      </w:tr>
      <w:tr>
        <w:tc>
          <w:tcPr>
            <w:tcW w:type="dxa" w:w="560"/>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pPr>
              <w:jc w:val="center"/>
            </w:pPr>
            <w:r>
              <w:rPr>
                <w:rFonts w:ascii="Calibri" w:cs="Calibri" w:eastAsia="Calibri" w:hAnsi="Calibri"/>
                <w:b/>
                <w:bCs/>
                <w:color w:val="1F2B45"/>
                <w:sz w:val="17"/>
                <w:szCs w:val="17"/>
              </w:rPr>
              <w:t xml:space="preserve">#8</w:t>
            </w:r>
          </w:p>
        </w:tc>
        <w:tc>
          <w:tcPr>
            <w:tcW w:type="dxa" w:w="600"/>
            <w:tcBorders>
              <w:top w:val="single" w:color="CCCCCC" w:sz="4"/>
              <w:left w:val="single" w:color="CCCCCC" w:sz="4"/>
              <w:bottom w:val="single" w:color="CCCCCC" w:sz="4"/>
              <w:right w:val="single" w:color="CCCCCC" w:sz="4"/>
            </w:tcBorders>
            <w:shd w:fill="FFFFFF" w:val="clear"/>
            <w:tcMar>
              <w:top w:type="dxa" w:w="60"/>
              <w:left w:type="dxa" w:w="60"/>
              <w:bottom w:type="dxa" w:w="60"/>
              <w:right w:type="dxa" w:w="60"/>
            </w:tcMar>
          </w:tcPr>
          <w:p>
            <w:pPr>
              <w:jc w:val="center"/>
            </w:pPr>
            <w:r>
              <w:rPr>
                <w:rFonts w:ascii="Calibri" w:cs="Calibri" w:eastAsia="Calibri" w:hAnsi="Calibri"/>
                <w:b/>
                <w:bCs/>
                <w:color w:val="C9A84C"/>
                <w:sz w:val="17"/>
                <w:szCs w:val="17"/>
              </w:rPr>
              <w:t xml:space="preserve">5.65</w:t>
            </w:r>
          </w:p>
        </w:tc>
        <w:tc>
          <w:tcPr>
            <w:tcW w:type="dxa" w:w="3200"/>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r>
              <w:rPr>
                <w:rFonts w:ascii="Calibri" w:cs="Calibri" w:eastAsia="Calibri" w:hAnsi="Calibri"/>
                <w:b/>
                <w:bCs/>
                <w:color w:val="1F2B45"/>
                <w:sz w:val="17"/>
                <w:szCs w:val="17"/>
              </w:rPr>
              <w:t xml:space="preserve">Qwen3 Max</w:t>
            </w:r>
          </w:p>
        </w:tc>
        <w:tc>
          <w:tcPr>
            <w:tcW w:type="dxa" w:w="1800"/>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r>
              <w:rPr>
                <w:rFonts w:ascii="Calibri" w:cs="Calibri" w:eastAsia="Calibri" w:hAnsi="Calibri"/>
                <w:color w:val="595959"/>
                <w:sz w:val="16"/>
                <w:szCs w:val="16"/>
              </w:rPr>
              <w:t xml:space="preserve">Alibaba</w:t>
            </w:r>
          </w:p>
        </w:tc>
        <w:tc>
          <w:tcPr>
            <w:tcW w:type="dxa" w:w="1200"/>
            <w:tcBorders>
              <w:top w:val="single" w:color="CCCCCC" w:sz="4"/>
              <w:left w:val="single" w:color="CCCCCC" w:sz="4"/>
              <w:bottom w:val="single" w:color="CCCCCC" w:sz="4"/>
              <w:right w:val="single" w:color="CCCCCC" w:sz="4"/>
            </w:tcBorders>
            <w:shd w:fill="FFFFFF" w:val="clear"/>
            <w:tcMar>
              <w:top w:type="dxa" w:w="60"/>
              <w:left w:type="dxa" w:w="60"/>
              <w:bottom w:type="dxa" w:w="60"/>
              <w:right w:type="dxa" w:w="60"/>
            </w:tcMar>
          </w:tcPr>
          <w:p>
            <w:pPr>
              <w:jc w:val="center"/>
            </w:pPr>
            <w:r>
              <w:rPr>
                <w:rFonts w:ascii="Calibri" w:cs="Calibri" w:eastAsia="Calibri" w:hAnsi="Calibri"/>
                <w:color w:val="595959"/>
                <w:sz w:val="16"/>
                <w:szCs w:val="16"/>
              </w:rPr>
              <w:t xml:space="preserve">5.65/10</w:t>
            </w:r>
          </w:p>
        </w:tc>
        <w:tc>
          <w:tcPr>
            <w:tcW w:type="dxa" w:w="2000"/>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r>
              <w:rPr>
                <w:rFonts w:ascii="Calibri" w:cs="Calibri" w:eastAsia="Calibri" w:hAnsi="Calibri"/>
                <w:i/>
                <w:iCs/>
                <w:color w:val="595959"/>
                <w:sz w:val="15"/>
                <w:szCs w:val="15"/>
              </w:rPr>
              <w:t xml:space="preserve">Cost Competitiveness</w:t>
            </w:r>
          </w:p>
        </w:tc>
      </w:tr>
      <w:tr>
        <w:tc>
          <w:tcPr>
            <w:tcW w:type="dxa" w:w="560"/>
            <w:tcBorders>
              <w:top w:val="single" w:color="CCCCCC" w:sz="4"/>
              <w:left w:val="single" w:color="CCCCCC" w:sz="4"/>
              <w:bottom w:val="single" w:color="CCCCCC" w:sz="4"/>
              <w:right w:val="single" w:color="CCCCCC" w:sz="4"/>
            </w:tcBorders>
            <w:shd w:fill="F5F7FA" w:val="clear"/>
            <w:tcMar>
              <w:top w:type="dxa" w:w="60"/>
              <w:left w:type="dxa" w:w="80"/>
              <w:bottom w:type="dxa" w:w="60"/>
              <w:right w:type="dxa" w:w="80"/>
            </w:tcMar>
          </w:tcPr>
          <w:p>
            <w:pPr>
              <w:jc w:val="center"/>
            </w:pPr>
            <w:r>
              <w:rPr>
                <w:rFonts w:ascii="Calibri" w:cs="Calibri" w:eastAsia="Calibri" w:hAnsi="Calibri"/>
                <w:b/>
                <w:bCs/>
                <w:color w:val="1F2B45"/>
                <w:sz w:val="17"/>
                <w:szCs w:val="17"/>
              </w:rPr>
              <w:t xml:space="preserve">#9</w:t>
            </w:r>
          </w:p>
        </w:tc>
        <w:tc>
          <w:tcPr>
            <w:tcW w:type="dxa" w:w="600"/>
            <w:tcBorders>
              <w:top w:val="single" w:color="CCCCCC" w:sz="4"/>
              <w:left w:val="single" w:color="CCCCCC" w:sz="4"/>
              <w:bottom w:val="single" w:color="CCCCCC" w:sz="4"/>
              <w:right w:val="single" w:color="CCCCCC" w:sz="4"/>
            </w:tcBorders>
            <w:shd w:fill="F5F7FA" w:val="clear"/>
            <w:tcMar>
              <w:top w:type="dxa" w:w="60"/>
              <w:left w:type="dxa" w:w="60"/>
              <w:bottom w:type="dxa" w:w="60"/>
              <w:right w:type="dxa" w:w="60"/>
            </w:tcMar>
          </w:tcPr>
          <w:p>
            <w:pPr>
              <w:jc w:val="center"/>
            </w:pPr>
            <w:r>
              <w:rPr>
                <w:rFonts w:ascii="Calibri" w:cs="Calibri" w:eastAsia="Calibri" w:hAnsi="Calibri"/>
                <w:b/>
                <w:bCs/>
                <w:color w:val="C9A84C"/>
                <w:sz w:val="17"/>
                <w:szCs w:val="17"/>
              </w:rPr>
              <w:t xml:space="preserve">5.25</w:t>
            </w:r>
          </w:p>
        </w:tc>
        <w:tc>
          <w:tcPr>
            <w:tcW w:type="dxa" w:w="3200"/>
            <w:tcBorders>
              <w:top w:val="single" w:color="CCCCCC" w:sz="4"/>
              <w:left w:val="single" w:color="CCCCCC" w:sz="4"/>
              <w:bottom w:val="single" w:color="CCCCCC" w:sz="4"/>
              <w:right w:val="single" w:color="CCCCCC" w:sz="4"/>
            </w:tcBorders>
            <w:shd w:fill="F5F7FA" w:val="clear"/>
            <w:tcMar>
              <w:top w:type="dxa" w:w="60"/>
              <w:left w:type="dxa" w:w="80"/>
              <w:bottom w:type="dxa" w:w="60"/>
              <w:right w:type="dxa" w:w="80"/>
            </w:tcMar>
          </w:tcPr>
          <w:p>
            <w:r>
              <w:rPr>
                <w:rFonts w:ascii="Calibri" w:cs="Calibri" w:eastAsia="Calibri" w:hAnsi="Calibri"/>
                <w:b/>
                <w:bCs/>
                <w:color w:val="1F2B45"/>
                <w:sz w:val="17"/>
                <w:szCs w:val="17"/>
              </w:rPr>
              <w:t xml:space="preserve">Mistral Large 3</w:t>
            </w:r>
          </w:p>
        </w:tc>
        <w:tc>
          <w:tcPr>
            <w:tcW w:type="dxa" w:w="1800"/>
            <w:tcBorders>
              <w:top w:val="single" w:color="CCCCCC" w:sz="4"/>
              <w:left w:val="single" w:color="CCCCCC" w:sz="4"/>
              <w:bottom w:val="single" w:color="CCCCCC" w:sz="4"/>
              <w:right w:val="single" w:color="CCCCCC" w:sz="4"/>
            </w:tcBorders>
            <w:shd w:fill="F5F7FA" w:val="clear"/>
            <w:tcMar>
              <w:top w:type="dxa" w:w="60"/>
              <w:left w:type="dxa" w:w="80"/>
              <w:bottom w:type="dxa" w:w="60"/>
              <w:right w:type="dxa" w:w="80"/>
            </w:tcMar>
          </w:tcPr>
          <w:p>
            <w:r>
              <w:rPr>
                <w:rFonts w:ascii="Calibri" w:cs="Calibri" w:eastAsia="Calibri" w:hAnsi="Calibri"/>
                <w:color w:val="595959"/>
                <w:sz w:val="16"/>
                <w:szCs w:val="16"/>
              </w:rPr>
              <w:t xml:space="preserve">Mistral AI</w:t>
            </w:r>
          </w:p>
        </w:tc>
        <w:tc>
          <w:tcPr>
            <w:tcW w:type="dxa" w:w="1200"/>
            <w:tcBorders>
              <w:top w:val="single" w:color="CCCCCC" w:sz="4"/>
              <w:left w:val="single" w:color="CCCCCC" w:sz="4"/>
              <w:bottom w:val="single" w:color="CCCCCC" w:sz="4"/>
              <w:right w:val="single" w:color="CCCCCC" w:sz="4"/>
            </w:tcBorders>
            <w:shd w:fill="F5F7FA" w:val="clear"/>
            <w:tcMar>
              <w:top w:type="dxa" w:w="60"/>
              <w:left w:type="dxa" w:w="60"/>
              <w:bottom w:type="dxa" w:w="60"/>
              <w:right w:type="dxa" w:w="60"/>
            </w:tcMar>
          </w:tcPr>
          <w:p>
            <w:pPr>
              <w:jc w:val="center"/>
            </w:pPr>
            <w:r>
              <w:rPr>
                <w:rFonts w:ascii="Calibri" w:cs="Calibri" w:eastAsia="Calibri" w:hAnsi="Calibri"/>
                <w:color w:val="595959"/>
                <w:sz w:val="16"/>
                <w:szCs w:val="16"/>
              </w:rPr>
              <w:t xml:space="preserve">5.25/10</w:t>
            </w:r>
          </w:p>
        </w:tc>
        <w:tc>
          <w:tcPr>
            <w:tcW w:type="dxa" w:w="2000"/>
            <w:tcBorders>
              <w:top w:val="single" w:color="CCCCCC" w:sz="4"/>
              <w:left w:val="single" w:color="CCCCCC" w:sz="4"/>
              <w:bottom w:val="single" w:color="CCCCCC" w:sz="4"/>
              <w:right w:val="single" w:color="CCCCCC" w:sz="4"/>
            </w:tcBorders>
            <w:shd w:fill="F5F7FA" w:val="clear"/>
            <w:tcMar>
              <w:top w:type="dxa" w:w="60"/>
              <w:left w:type="dxa" w:w="80"/>
              <w:bottom w:type="dxa" w:w="60"/>
              <w:right w:type="dxa" w:w="80"/>
            </w:tcMar>
          </w:tcPr>
          <w:p>
            <w:r>
              <w:rPr>
                <w:rFonts w:ascii="Calibri" w:cs="Calibri" w:eastAsia="Calibri" w:hAnsi="Calibri"/>
                <w:i/>
                <w:iCs/>
                <w:color w:val="595959"/>
                <w:sz w:val="15"/>
                <w:szCs w:val="15"/>
              </w:rPr>
              <w:t xml:space="preserve">Cost Competitiveness</w:t>
            </w:r>
          </w:p>
        </w:tc>
      </w:tr>
      <w:tr>
        <w:tc>
          <w:tcPr>
            <w:tcW w:type="dxa" w:w="560"/>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pPr>
              <w:jc w:val="center"/>
            </w:pPr>
            <w:r>
              <w:rPr>
                <w:rFonts w:ascii="Calibri" w:cs="Calibri" w:eastAsia="Calibri" w:hAnsi="Calibri"/>
                <w:b/>
                <w:bCs/>
                <w:color w:val="1F2B45"/>
                <w:sz w:val="17"/>
                <w:szCs w:val="17"/>
              </w:rPr>
              <w:t xml:space="preserve">#10</w:t>
            </w:r>
          </w:p>
        </w:tc>
        <w:tc>
          <w:tcPr>
            <w:tcW w:type="dxa" w:w="600"/>
            <w:tcBorders>
              <w:top w:val="single" w:color="CCCCCC" w:sz="4"/>
              <w:left w:val="single" w:color="CCCCCC" w:sz="4"/>
              <w:bottom w:val="single" w:color="CCCCCC" w:sz="4"/>
              <w:right w:val="single" w:color="CCCCCC" w:sz="4"/>
            </w:tcBorders>
            <w:shd w:fill="FFFFFF" w:val="clear"/>
            <w:tcMar>
              <w:top w:type="dxa" w:w="60"/>
              <w:left w:type="dxa" w:w="60"/>
              <w:bottom w:type="dxa" w:w="60"/>
              <w:right w:type="dxa" w:w="60"/>
            </w:tcMar>
          </w:tcPr>
          <w:p>
            <w:pPr>
              <w:jc w:val="center"/>
            </w:pPr>
            <w:r>
              <w:rPr>
                <w:rFonts w:ascii="Calibri" w:cs="Calibri" w:eastAsia="Calibri" w:hAnsi="Calibri"/>
                <w:b/>
                <w:bCs/>
                <w:color w:val="C9A84C"/>
                <w:sz w:val="17"/>
                <w:szCs w:val="17"/>
              </w:rPr>
              <w:t xml:space="preserve">4.45</w:t>
            </w:r>
          </w:p>
        </w:tc>
        <w:tc>
          <w:tcPr>
            <w:tcW w:type="dxa" w:w="3200"/>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r>
              <w:rPr>
                <w:rFonts w:ascii="Calibri" w:cs="Calibri" w:eastAsia="Calibri" w:hAnsi="Calibri"/>
                <w:b/>
                <w:bCs/>
                <w:color w:val="1F2B45"/>
                <w:sz w:val="17"/>
                <w:szCs w:val="17"/>
              </w:rPr>
              <w:t xml:space="preserve">Perplexity (Sonar)</w:t>
            </w:r>
          </w:p>
        </w:tc>
        <w:tc>
          <w:tcPr>
            <w:tcW w:type="dxa" w:w="1800"/>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r>
              <w:rPr>
                <w:rFonts w:ascii="Calibri" w:cs="Calibri" w:eastAsia="Calibri" w:hAnsi="Calibri"/>
                <w:color w:val="595959"/>
                <w:sz w:val="16"/>
                <w:szCs w:val="16"/>
              </w:rPr>
              <w:t xml:space="preserve">Perplexity AI</w:t>
            </w:r>
          </w:p>
        </w:tc>
        <w:tc>
          <w:tcPr>
            <w:tcW w:type="dxa" w:w="1200"/>
            <w:tcBorders>
              <w:top w:val="single" w:color="CCCCCC" w:sz="4"/>
              <w:left w:val="single" w:color="CCCCCC" w:sz="4"/>
              <w:bottom w:val="single" w:color="CCCCCC" w:sz="4"/>
              <w:right w:val="single" w:color="CCCCCC" w:sz="4"/>
            </w:tcBorders>
            <w:shd w:fill="FFFFFF" w:val="clear"/>
            <w:tcMar>
              <w:top w:type="dxa" w:w="60"/>
              <w:left w:type="dxa" w:w="60"/>
              <w:bottom w:type="dxa" w:w="60"/>
              <w:right w:type="dxa" w:w="60"/>
            </w:tcMar>
          </w:tcPr>
          <w:p>
            <w:pPr>
              <w:jc w:val="center"/>
            </w:pPr>
            <w:r>
              <w:rPr>
                <w:rFonts w:ascii="Calibri" w:cs="Calibri" w:eastAsia="Calibri" w:hAnsi="Calibri"/>
                <w:color w:val="595959"/>
                <w:sz w:val="16"/>
                <w:szCs w:val="16"/>
              </w:rPr>
              <w:t xml:space="preserve">4.45/10</w:t>
            </w:r>
          </w:p>
        </w:tc>
        <w:tc>
          <w:tcPr>
            <w:tcW w:type="dxa" w:w="2000"/>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r>
              <w:rPr>
                <w:rFonts w:ascii="Calibri" w:cs="Calibri" w:eastAsia="Calibri" w:hAnsi="Calibri"/>
                <w:i/>
                <w:iCs/>
                <w:color w:val="595959"/>
                <w:sz w:val="15"/>
                <w:szCs w:val="15"/>
              </w:rPr>
              <w:t xml:space="preserve">Cost Competitiveness</w:t>
            </w:r>
          </w:p>
        </w:tc>
      </w:tr>
    </w:tbl>
    <w:p>
      <w:pPr>
        <w:spacing w:after="160"/>
      </w:pPr>
      <w:r>
        <w:t xml:space="preserve"/>
      </w:r>
    </w:p>
    <w:p>
      <w:pPr>
        <w:pStyle w:val="Heading1"/>
        <w:spacing w:before="320" w:after="120"/>
      </w:pPr>
      <w:r>
        <w:rPr>
          <w:rFonts w:ascii="Calibri" w:cs="Calibri" w:eastAsia="Calibri" w:hAnsi="Calibri"/>
          <w:b/>
          <w:bCs/>
          <w:color w:val="1F2B45"/>
          <w:sz w:val="36"/>
          <w:szCs w:val="36"/>
        </w:rPr>
        <w:t xml:space="preserve">Evaluation Criteria &amp; Methodology</w:t>
      </w:r>
    </w:p>
    <w:p>
      <w:pPr>
        <w:pBdr>
          <w:bottom w:val="single" w:color="C9A84C" w:sz="8"/>
        </w:pBdr>
        <w:spacing w:after="160"/>
      </w:pPr>
    </w:p>
    <w:p>
      <w:pPr>
        <w:spacing w:after="80"/>
      </w:pPr>
      <w:r>
        <w:rPr>
          <w:rFonts w:ascii="Calibri" w:cs="Calibri" w:eastAsia="Calibri" w:hAnsi="Calibri"/>
          <w:b w:val="false"/>
          <w:bCs w:val="false"/>
          <w:i w:val="false"/>
          <w:iCs w:val="false"/>
          <w:color w:val="595959"/>
          <w:sz w:val="20"/>
          <w:szCs w:val="20"/>
        </w:rPr>
        <w:t xml:space="preserve">This analysis ranks the ten most strategically significant AI engines as of March 18, 2026. Rankings are produced using a weighted multi-criteria scoring model. Each model is scored 1–10 per criterion by the analyst; the weighted scores are summed to produce a composite ranking score. This methodology prioritizes commercial and market impact criteria over pure benchmark performance, reflecting the view that enterprise relevance — not laboratory scores — is the most useful lens for strategic decision-making.</w:t>
      </w:r>
    </w:p>
    <w:p>
      <w:pPr>
        <w:spacing w:after="160"/>
      </w:pPr>
      <w:r>
        <w:t xml:space="preserve"/>
      </w:r>
    </w:p>
    <w:p>
      <w:pPr>
        <w:pStyle w:val="Heading2"/>
        <w:pBdr>
          <w:bottom w:val="single" w:color="C9A84C" w:sz="4"/>
        </w:pBdr>
        <w:spacing w:before="200" w:after="80"/>
      </w:pPr>
      <w:r>
        <w:rPr>
          <w:rFonts w:ascii="Calibri" w:cs="Calibri" w:eastAsia="Calibri" w:hAnsi="Calibri"/>
          <w:b/>
          <w:bCs/>
          <w:color w:val="1F2B45"/>
          <w:sz w:val="26"/>
          <w:szCs w:val="26"/>
        </w:rPr>
        <w:t xml:space="preserve">Scoring Criteria &amp; Weights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
        <w:gridCol w:w="3400"/>
        <w:gridCol w:w="1000"/>
        <w:gridCol w:w="4560"/>
      </w:tblGrid>
      <w:tr>
        <w:tc>
          <w:tcPr>
            <w:tcW w:type="dxa" w:w="400"/>
            <w:tcBorders>
              <w:top w:val="single" w:color="CCCCCC" w:sz="4"/>
              <w:left w:val="single" w:color="CCCCCC" w:sz="4"/>
              <w:bottom w:val="single" w:color="CCCCCC" w:sz="4"/>
              <w:right w:val="single" w:color="CCCCCC" w:sz="4"/>
            </w:tcBorders>
            <w:shd w:fill="1F2B45" w:val="clear"/>
            <w:tcMar>
              <w:top w:type="dxa" w:w="60"/>
              <w:left w:type="dxa" w:w="100"/>
              <w:bottom w:type="dxa" w:w="60"/>
              <w:right w:type="dxa" w:w="100"/>
            </w:tcMar>
          </w:tcPr>
          <w:p>
            <w:r>
              <w:rPr>
                <w:rFonts w:ascii="Calibri" w:cs="Calibri" w:eastAsia="Calibri" w:hAnsi="Calibri"/>
                <w:b/>
                <w:bCs/>
                <w:color w:val="FFFFFF"/>
                <w:sz w:val="18"/>
                <w:szCs w:val="18"/>
              </w:rPr>
              <w:t xml:space="preserve">#</w:t>
            </w:r>
          </w:p>
        </w:tc>
        <w:tc>
          <w:tcPr>
            <w:tcW w:type="dxa" w:w="3400"/>
            <w:tcBorders>
              <w:top w:val="single" w:color="CCCCCC" w:sz="4"/>
              <w:left w:val="single" w:color="CCCCCC" w:sz="4"/>
              <w:bottom w:val="single" w:color="CCCCCC" w:sz="4"/>
              <w:right w:val="single" w:color="CCCCCC" w:sz="4"/>
            </w:tcBorders>
            <w:shd w:fill="1F2B45" w:val="clear"/>
            <w:tcMar>
              <w:top w:type="dxa" w:w="60"/>
              <w:left w:type="dxa" w:w="100"/>
              <w:bottom w:type="dxa" w:w="60"/>
              <w:right w:type="dxa" w:w="100"/>
            </w:tcMar>
          </w:tcPr>
          <w:p>
            <w:r>
              <w:rPr>
                <w:rFonts w:ascii="Calibri" w:cs="Calibri" w:eastAsia="Calibri" w:hAnsi="Calibri"/>
                <w:b/>
                <w:bCs/>
                <w:color w:val="FFFFFF"/>
                <w:sz w:val="18"/>
                <w:szCs w:val="18"/>
              </w:rPr>
              <w:t xml:space="preserve">Criterion</w:t>
            </w:r>
          </w:p>
        </w:tc>
        <w:tc>
          <w:tcPr>
            <w:tcW w:type="dxa" w:w="1000"/>
            <w:tcBorders>
              <w:top w:val="single" w:color="CCCCCC" w:sz="4"/>
              <w:left w:val="single" w:color="CCCCCC" w:sz="4"/>
              <w:bottom w:val="single" w:color="CCCCCC" w:sz="4"/>
              <w:right w:val="single" w:color="CCCCCC" w:sz="4"/>
            </w:tcBorders>
            <w:shd w:fill="1F2B45" w:val="clear"/>
            <w:tcMar>
              <w:top w:type="dxa" w:w="60"/>
              <w:left w:type="dxa" w:w="100"/>
              <w:bottom w:type="dxa" w:w="60"/>
              <w:right w:type="dxa" w:w="100"/>
            </w:tcMar>
          </w:tcPr>
          <w:p>
            <w:r>
              <w:rPr>
                <w:rFonts w:ascii="Calibri" w:cs="Calibri" w:eastAsia="Calibri" w:hAnsi="Calibri"/>
                <w:b/>
                <w:bCs/>
                <w:color w:val="FFFFFF"/>
                <w:sz w:val="18"/>
                <w:szCs w:val="18"/>
              </w:rPr>
              <w:t xml:space="preserve">Weight</w:t>
            </w:r>
          </w:p>
        </w:tc>
        <w:tc>
          <w:tcPr>
            <w:tcW w:type="dxa" w:w="4560"/>
            <w:tcBorders>
              <w:top w:val="single" w:color="CCCCCC" w:sz="4"/>
              <w:left w:val="single" w:color="CCCCCC" w:sz="4"/>
              <w:bottom w:val="single" w:color="CCCCCC" w:sz="4"/>
              <w:right w:val="single" w:color="CCCCCC" w:sz="4"/>
            </w:tcBorders>
            <w:shd w:fill="1F2B45" w:val="clear"/>
            <w:tcMar>
              <w:top w:type="dxa" w:w="60"/>
              <w:left w:type="dxa" w:w="100"/>
              <w:bottom w:type="dxa" w:w="60"/>
              <w:right w:type="dxa" w:w="100"/>
            </w:tcMar>
          </w:tcPr>
          <w:p>
            <w:r>
              <w:rPr>
                <w:rFonts w:ascii="Calibri" w:cs="Calibri" w:eastAsia="Calibri" w:hAnsi="Calibri"/>
                <w:b/>
                <w:bCs/>
                <w:color w:val="FFFFFF"/>
                <w:sz w:val="18"/>
                <w:szCs w:val="18"/>
              </w:rPr>
              <w:t xml:space="preserve">Definition</w:t>
            </w:r>
          </w:p>
        </w:tc>
      </w:tr>
      <w:tr>
        <w:tc>
          <w:tcPr>
            <w:tcW w:type="dxa" w:w="400"/>
            <w:tcBorders>
              <w:top w:val="single" w:color="CCCCCC" w:sz="4"/>
              <w:left w:val="single" w:color="CCCCCC" w:sz="4"/>
              <w:bottom w:val="single" w:color="CCCCCC" w:sz="4"/>
              <w:right w:val="single" w:color="CCCCCC" w:sz="4"/>
            </w:tcBorders>
            <w:shd w:fill="F5F7FA" w:val="clear"/>
            <w:tcMar>
              <w:top w:type="dxa" w:w="60"/>
              <w:left w:type="dxa" w:w="80"/>
              <w:bottom w:type="dxa" w:w="60"/>
              <w:right w:type="dxa" w:w="80"/>
            </w:tcMar>
          </w:tcPr>
          <w:p>
            <w:pPr>
              <w:jc w:val="center"/>
            </w:pPr>
            <w:r>
              <w:rPr>
                <w:rFonts w:ascii="Calibri" w:cs="Calibri" w:eastAsia="Calibri" w:hAnsi="Calibri"/>
                <w:b/>
                <w:bCs/>
                <w:color w:val="1F2B45"/>
                <w:sz w:val="18"/>
                <w:szCs w:val="18"/>
              </w:rPr>
              <w:t xml:space="preserve">1</w:t>
            </w:r>
          </w:p>
        </w:tc>
        <w:tc>
          <w:tcPr>
            <w:tcW w:type="dxa" w:w="3400"/>
            <w:tcBorders>
              <w:top w:val="single" w:color="CCCCCC" w:sz="4"/>
              <w:left w:val="single" w:color="CCCCCC" w:sz="4"/>
              <w:bottom w:val="single" w:color="CCCCCC" w:sz="4"/>
              <w:right w:val="single" w:color="CCCCCC" w:sz="4"/>
            </w:tcBorders>
            <w:tcMar>
              <w:top w:type="dxa" w:w="60"/>
              <w:left w:type="dxa" w:w="100"/>
              <w:bottom w:type="dxa" w:w="60"/>
              <w:right w:type="dxa" w:w="100"/>
            </w:tcMar>
          </w:tcPr>
          <w:p>
            <w:r>
              <w:rPr>
                <w:rFonts w:ascii="Calibri" w:cs="Calibri" w:eastAsia="Calibri" w:hAnsi="Calibri"/>
                <w:b/>
                <w:bCs/>
                <w:color w:val="1F2B45"/>
                <w:sz w:val="18"/>
                <w:szCs w:val="18"/>
              </w:rPr>
              <w:t xml:space="preserve">Enterprise Market Adoption</w:t>
            </w:r>
          </w:p>
        </w:tc>
        <w:tc>
          <w:tcPr>
            <w:tcW w:type="dxa" w:w="1000"/>
            <w:tcBorders>
              <w:top w:val="single" w:color="CCCCCC" w:sz="4"/>
              <w:left w:val="single" w:color="CCCCCC" w:sz="4"/>
              <w:bottom w:val="single" w:color="CCCCCC" w:sz="4"/>
              <w:right w:val="single" w:color="CCCCCC" w:sz="4"/>
            </w:tcBorders>
            <w:shd w:fill="E8EDF4" w:val="clear"/>
            <w:tcMar>
              <w:top w:type="dxa" w:w="60"/>
              <w:left w:type="dxa" w:w="80"/>
              <w:bottom w:type="dxa" w:w="60"/>
              <w:right w:type="dxa" w:w="80"/>
            </w:tcMar>
          </w:tcPr>
          <w:p>
            <w:pPr>
              <w:jc w:val="center"/>
            </w:pPr>
            <w:r>
              <w:rPr>
                <w:rFonts w:ascii="Calibri" w:cs="Calibri" w:eastAsia="Calibri" w:hAnsi="Calibri"/>
                <w:b/>
                <w:bCs/>
                <w:color w:val="C9A84C"/>
                <w:sz w:val="18"/>
                <w:szCs w:val="18"/>
              </w:rPr>
              <w:t xml:space="preserve">25%</w:t>
            </w:r>
          </w:p>
        </w:tc>
        <w:tc>
          <w:tcPr>
            <w:tcW w:type="dxa" w:w="4560"/>
            <w:tcBorders>
              <w:top w:val="single" w:color="CCCCCC" w:sz="4"/>
              <w:left w:val="single" w:color="CCCCCC" w:sz="4"/>
              <w:bottom w:val="single" w:color="CCCCCC" w:sz="4"/>
              <w:right w:val="single" w:color="CCCCCC" w:sz="4"/>
            </w:tcBorders>
            <w:tcMar>
              <w:top w:type="dxa" w:w="60"/>
              <w:left w:type="dxa" w:w="100"/>
              <w:bottom w:type="dxa" w:w="60"/>
              <w:right w:type="dxa" w:w="100"/>
            </w:tcMar>
          </w:tcPr>
          <w:p>
            <w:r>
              <w:rPr>
                <w:rFonts w:ascii="Calibri" w:cs="Calibri" w:eastAsia="Calibri" w:hAnsi="Calibri"/>
                <w:color w:val="595959"/>
                <w:sz w:val="17"/>
                <w:szCs w:val="17"/>
              </w:rPr>
              <w:t xml:space="preserve">Paid seats, Fortune 500 penetration, active enterprise deployments at scale</w:t>
            </w:r>
          </w:p>
        </w:tc>
      </w:tr>
      <w:tr>
        <w:tc>
          <w:tcPr>
            <w:tcW w:type="dxa" w:w="400"/>
            <w:tcBorders>
              <w:top w:val="single" w:color="CCCCCC" w:sz="4"/>
              <w:left w:val="single" w:color="CCCCCC" w:sz="4"/>
              <w:bottom w:val="single" w:color="CCCCCC" w:sz="4"/>
              <w:right w:val="single" w:color="CCCCCC" w:sz="4"/>
            </w:tcBorders>
            <w:shd w:fill="F5F7FA" w:val="clear"/>
            <w:tcMar>
              <w:top w:type="dxa" w:w="60"/>
              <w:left w:type="dxa" w:w="80"/>
              <w:bottom w:type="dxa" w:w="60"/>
              <w:right w:type="dxa" w:w="80"/>
            </w:tcMar>
          </w:tcPr>
          <w:p>
            <w:pPr>
              <w:jc w:val="center"/>
            </w:pPr>
            <w:r>
              <w:rPr>
                <w:rFonts w:ascii="Calibri" w:cs="Calibri" w:eastAsia="Calibri" w:hAnsi="Calibri"/>
                <w:b/>
                <w:bCs/>
                <w:color w:val="1F2B45"/>
                <w:sz w:val="18"/>
                <w:szCs w:val="18"/>
              </w:rPr>
              <w:t xml:space="preserve">2</w:t>
            </w:r>
          </w:p>
        </w:tc>
        <w:tc>
          <w:tcPr>
            <w:tcW w:type="dxa" w:w="3400"/>
            <w:tcBorders>
              <w:top w:val="single" w:color="CCCCCC" w:sz="4"/>
              <w:left w:val="single" w:color="CCCCCC" w:sz="4"/>
              <w:bottom w:val="single" w:color="CCCCCC" w:sz="4"/>
              <w:right w:val="single" w:color="CCCCCC" w:sz="4"/>
            </w:tcBorders>
            <w:tcMar>
              <w:top w:type="dxa" w:w="60"/>
              <w:left w:type="dxa" w:w="100"/>
              <w:bottom w:type="dxa" w:w="60"/>
              <w:right w:type="dxa" w:w="100"/>
            </w:tcMar>
          </w:tcPr>
          <w:p>
            <w:r>
              <w:rPr>
                <w:rFonts w:ascii="Calibri" w:cs="Calibri" w:eastAsia="Calibri" w:hAnsi="Calibri"/>
                <w:b/>
                <w:bCs/>
                <w:color w:val="1F2B45"/>
                <w:sz w:val="18"/>
                <w:szCs w:val="18"/>
              </w:rPr>
              <w:t xml:space="preserve">Model Benchmark Performance</w:t>
            </w:r>
          </w:p>
        </w:tc>
        <w:tc>
          <w:tcPr>
            <w:tcW w:type="dxa" w:w="1000"/>
            <w:tcBorders>
              <w:top w:val="single" w:color="CCCCCC" w:sz="4"/>
              <w:left w:val="single" w:color="CCCCCC" w:sz="4"/>
              <w:bottom w:val="single" w:color="CCCCCC" w:sz="4"/>
              <w:right w:val="single" w:color="CCCCCC" w:sz="4"/>
            </w:tcBorders>
            <w:shd w:fill="E8EDF4" w:val="clear"/>
            <w:tcMar>
              <w:top w:type="dxa" w:w="60"/>
              <w:left w:type="dxa" w:w="80"/>
              <w:bottom w:type="dxa" w:w="60"/>
              <w:right w:type="dxa" w:w="80"/>
            </w:tcMar>
          </w:tcPr>
          <w:p>
            <w:pPr>
              <w:jc w:val="center"/>
            </w:pPr>
            <w:r>
              <w:rPr>
                <w:rFonts w:ascii="Calibri" w:cs="Calibri" w:eastAsia="Calibri" w:hAnsi="Calibri"/>
                <w:b/>
                <w:bCs/>
                <w:color w:val="C9A84C"/>
                <w:sz w:val="18"/>
                <w:szCs w:val="18"/>
              </w:rPr>
              <w:t xml:space="preserve">20%</w:t>
            </w:r>
          </w:p>
        </w:tc>
        <w:tc>
          <w:tcPr>
            <w:tcW w:type="dxa" w:w="4560"/>
            <w:tcBorders>
              <w:top w:val="single" w:color="CCCCCC" w:sz="4"/>
              <w:left w:val="single" w:color="CCCCCC" w:sz="4"/>
              <w:bottom w:val="single" w:color="CCCCCC" w:sz="4"/>
              <w:right w:val="single" w:color="CCCCCC" w:sz="4"/>
            </w:tcBorders>
            <w:tcMar>
              <w:top w:type="dxa" w:w="60"/>
              <w:left w:type="dxa" w:w="100"/>
              <w:bottom w:type="dxa" w:w="60"/>
              <w:right w:type="dxa" w:w="100"/>
            </w:tcMar>
          </w:tcPr>
          <w:p>
            <w:r>
              <w:rPr>
                <w:rFonts w:ascii="Calibri" w:cs="Calibri" w:eastAsia="Calibri" w:hAnsi="Calibri"/>
                <w:color w:val="595959"/>
                <w:sz w:val="17"/>
                <w:szCs w:val="17"/>
              </w:rPr>
              <w:t xml:space="preserve">SWE-bench, GPQA, ARC-AGI-2, Elo human-preference scores vs frontier peers</w:t>
            </w:r>
          </w:p>
        </w:tc>
      </w:tr>
      <w:tr>
        <w:tc>
          <w:tcPr>
            <w:tcW w:type="dxa" w:w="400"/>
            <w:tcBorders>
              <w:top w:val="single" w:color="CCCCCC" w:sz="4"/>
              <w:left w:val="single" w:color="CCCCCC" w:sz="4"/>
              <w:bottom w:val="single" w:color="CCCCCC" w:sz="4"/>
              <w:right w:val="single" w:color="CCCCCC" w:sz="4"/>
            </w:tcBorders>
            <w:shd w:fill="F5F7FA" w:val="clear"/>
            <w:tcMar>
              <w:top w:type="dxa" w:w="60"/>
              <w:left w:type="dxa" w:w="80"/>
              <w:bottom w:type="dxa" w:w="60"/>
              <w:right w:type="dxa" w:w="80"/>
            </w:tcMar>
          </w:tcPr>
          <w:p>
            <w:pPr>
              <w:jc w:val="center"/>
            </w:pPr>
            <w:r>
              <w:rPr>
                <w:rFonts w:ascii="Calibri" w:cs="Calibri" w:eastAsia="Calibri" w:hAnsi="Calibri"/>
                <w:b/>
                <w:bCs/>
                <w:color w:val="1F2B45"/>
                <w:sz w:val="18"/>
                <w:szCs w:val="18"/>
              </w:rPr>
              <w:t xml:space="preserve">3</w:t>
            </w:r>
          </w:p>
        </w:tc>
        <w:tc>
          <w:tcPr>
            <w:tcW w:type="dxa" w:w="3400"/>
            <w:tcBorders>
              <w:top w:val="single" w:color="CCCCCC" w:sz="4"/>
              <w:left w:val="single" w:color="CCCCCC" w:sz="4"/>
              <w:bottom w:val="single" w:color="CCCCCC" w:sz="4"/>
              <w:right w:val="single" w:color="CCCCCC" w:sz="4"/>
            </w:tcBorders>
            <w:tcMar>
              <w:top w:type="dxa" w:w="60"/>
              <w:left w:type="dxa" w:w="100"/>
              <w:bottom w:type="dxa" w:w="60"/>
              <w:right w:type="dxa" w:w="100"/>
            </w:tcMar>
          </w:tcPr>
          <w:p>
            <w:r>
              <w:rPr>
                <w:rFonts w:ascii="Calibri" w:cs="Calibri" w:eastAsia="Calibri" w:hAnsi="Calibri"/>
                <w:b/>
                <w:bCs/>
                <w:color w:val="1F2B45"/>
                <w:sz w:val="18"/>
                <w:szCs w:val="18"/>
              </w:rPr>
              <w:t xml:space="preserve">Commercial Revenue &amp; Momentum</w:t>
            </w:r>
          </w:p>
        </w:tc>
        <w:tc>
          <w:tcPr>
            <w:tcW w:type="dxa" w:w="1000"/>
            <w:tcBorders>
              <w:top w:val="single" w:color="CCCCCC" w:sz="4"/>
              <w:left w:val="single" w:color="CCCCCC" w:sz="4"/>
              <w:bottom w:val="single" w:color="CCCCCC" w:sz="4"/>
              <w:right w:val="single" w:color="CCCCCC" w:sz="4"/>
            </w:tcBorders>
            <w:shd w:fill="E8EDF4" w:val="clear"/>
            <w:tcMar>
              <w:top w:type="dxa" w:w="60"/>
              <w:left w:type="dxa" w:w="80"/>
              <w:bottom w:type="dxa" w:w="60"/>
              <w:right w:type="dxa" w:w="80"/>
            </w:tcMar>
          </w:tcPr>
          <w:p>
            <w:pPr>
              <w:jc w:val="center"/>
            </w:pPr>
            <w:r>
              <w:rPr>
                <w:rFonts w:ascii="Calibri" w:cs="Calibri" w:eastAsia="Calibri" w:hAnsi="Calibri"/>
                <w:b/>
                <w:bCs/>
                <w:color w:val="C9A84C"/>
                <w:sz w:val="18"/>
                <w:szCs w:val="18"/>
              </w:rPr>
              <w:t xml:space="preserve">20%</w:t>
            </w:r>
          </w:p>
        </w:tc>
        <w:tc>
          <w:tcPr>
            <w:tcW w:type="dxa" w:w="4560"/>
            <w:tcBorders>
              <w:top w:val="single" w:color="CCCCCC" w:sz="4"/>
              <w:left w:val="single" w:color="CCCCCC" w:sz="4"/>
              <w:bottom w:val="single" w:color="CCCCCC" w:sz="4"/>
              <w:right w:val="single" w:color="CCCCCC" w:sz="4"/>
            </w:tcBorders>
            <w:tcMar>
              <w:top w:type="dxa" w:w="60"/>
              <w:left w:type="dxa" w:w="100"/>
              <w:bottom w:type="dxa" w:w="60"/>
              <w:right w:type="dxa" w:w="100"/>
            </w:tcMar>
          </w:tcPr>
          <w:p>
            <w:r>
              <w:rPr>
                <w:rFonts w:ascii="Calibri" w:cs="Calibri" w:eastAsia="Calibri" w:hAnsi="Calibri"/>
                <w:color w:val="595959"/>
                <w:sz w:val="17"/>
                <w:szCs w:val="17"/>
              </w:rPr>
              <w:t xml:space="preserve">Confirmed/projected AI revenue, YoY growth trajectory, monetisation maturity</w:t>
            </w:r>
          </w:p>
        </w:tc>
      </w:tr>
      <w:tr>
        <w:tc>
          <w:tcPr>
            <w:tcW w:type="dxa" w:w="400"/>
            <w:tcBorders>
              <w:top w:val="single" w:color="CCCCCC" w:sz="4"/>
              <w:left w:val="single" w:color="CCCCCC" w:sz="4"/>
              <w:bottom w:val="single" w:color="CCCCCC" w:sz="4"/>
              <w:right w:val="single" w:color="CCCCCC" w:sz="4"/>
            </w:tcBorders>
            <w:shd w:fill="F5F7FA" w:val="clear"/>
            <w:tcMar>
              <w:top w:type="dxa" w:w="60"/>
              <w:left w:type="dxa" w:w="80"/>
              <w:bottom w:type="dxa" w:w="60"/>
              <w:right w:type="dxa" w:w="80"/>
            </w:tcMar>
          </w:tcPr>
          <w:p>
            <w:pPr>
              <w:jc w:val="center"/>
            </w:pPr>
            <w:r>
              <w:rPr>
                <w:rFonts w:ascii="Calibri" w:cs="Calibri" w:eastAsia="Calibri" w:hAnsi="Calibri"/>
                <w:b/>
                <w:bCs/>
                <w:color w:val="1F2B45"/>
                <w:sz w:val="18"/>
                <w:szCs w:val="18"/>
              </w:rPr>
              <w:t xml:space="preserve">4</w:t>
            </w:r>
          </w:p>
        </w:tc>
        <w:tc>
          <w:tcPr>
            <w:tcW w:type="dxa" w:w="3400"/>
            <w:tcBorders>
              <w:top w:val="single" w:color="CCCCCC" w:sz="4"/>
              <w:left w:val="single" w:color="CCCCCC" w:sz="4"/>
              <w:bottom w:val="single" w:color="CCCCCC" w:sz="4"/>
              <w:right w:val="single" w:color="CCCCCC" w:sz="4"/>
            </w:tcBorders>
            <w:tcMar>
              <w:top w:type="dxa" w:w="60"/>
              <w:left w:type="dxa" w:w="100"/>
              <w:bottom w:type="dxa" w:w="60"/>
              <w:right w:type="dxa" w:w="100"/>
            </w:tcMar>
          </w:tcPr>
          <w:p>
            <w:r>
              <w:rPr>
                <w:rFonts w:ascii="Calibri" w:cs="Calibri" w:eastAsia="Calibri" w:hAnsi="Calibri"/>
                <w:b/>
                <w:bCs/>
                <w:color w:val="1F2B45"/>
                <w:sz w:val="18"/>
                <w:szCs w:val="18"/>
              </w:rPr>
              <w:t xml:space="preserve">Ecosystem &amp; Integration Depth</w:t>
            </w:r>
          </w:p>
        </w:tc>
        <w:tc>
          <w:tcPr>
            <w:tcW w:type="dxa" w:w="1000"/>
            <w:tcBorders>
              <w:top w:val="single" w:color="CCCCCC" w:sz="4"/>
              <w:left w:val="single" w:color="CCCCCC" w:sz="4"/>
              <w:bottom w:val="single" w:color="CCCCCC" w:sz="4"/>
              <w:right w:val="single" w:color="CCCCCC" w:sz="4"/>
            </w:tcBorders>
            <w:shd w:fill="E8EDF4" w:val="clear"/>
            <w:tcMar>
              <w:top w:type="dxa" w:w="60"/>
              <w:left w:type="dxa" w:w="80"/>
              <w:bottom w:type="dxa" w:w="60"/>
              <w:right w:type="dxa" w:w="80"/>
            </w:tcMar>
          </w:tcPr>
          <w:p>
            <w:pPr>
              <w:jc w:val="center"/>
            </w:pPr>
            <w:r>
              <w:rPr>
                <w:rFonts w:ascii="Calibri" w:cs="Calibri" w:eastAsia="Calibri" w:hAnsi="Calibri"/>
                <w:b/>
                <w:bCs/>
                <w:color w:val="C9A84C"/>
                <w:sz w:val="18"/>
                <w:szCs w:val="18"/>
              </w:rPr>
              <w:t xml:space="preserve">15%</w:t>
            </w:r>
          </w:p>
        </w:tc>
        <w:tc>
          <w:tcPr>
            <w:tcW w:type="dxa" w:w="4560"/>
            <w:tcBorders>
              <w:top w:val="single" w:color="CCCCCC" w:sz="4"/>
              <w:left w:val="single" w:color="CCCCCC" w:sz="4"/>
              <w:bottom w:val="single" w:color="CCCCCC" w:sz="4"/>
              <w:right w:val="single" w:color="CCCCCC" w:sz="4"/>
            </w:tcBorders>
            <w:tcMar>
              <w:top w:type="dxa" w:w="60"/>
              <w:left w:type="dxa" w:w="100"/>
              <w:bottom w:type="dxa" w:w="60"/>
              <w:right w:type="dxa" w:w="100"/>
            </w:tcMar>
          </w:tcPr>
          <w:p>
            <w:r>
              <w:rPr>
                <w:rFonts w:ascii="Calibri" w:cs="Calibri" w:eastAsia="Calibri" w:hAnsi="Calibri"/>
                <w:color w:val="595959"/>
                <w:sz w:val="17"/>
                <w:szCs w:val="17"/>
              </w:rPr>
              <w:t xml:space="preserve">API ecosystem, third-party integrations, developer tooling, platform distribution reach</w:t>
            </w:r>
          </w:p>
        </w:tc>
      </w:tr>
      <w:tr>
        <w:tc>
          <w:tcPr>
            <w:tcW w:type="dxa" w:w="400"/>
            <w:tcBorders>
              <w:top w:val="single" w:color="CCCCCC" w:sz="4"/>
              <w:left w:val="single" w:color="CCCCCC" w:sz="4"/>
              <w:bottom w:val="single" w:color="CCCCCC" w:sz="4"/>
              <w:right w:val="single" w:color="CCCCCC" w:sz="4"/>
            </w:tcBorders>
            <w:shd w:fill="F5F7FA" w:val="clear"/>
            <w:tcMar>
              <w:top w:type="dxa" w:w="60"/>
              <w:left w:type="dxa" w:w="80"/>
              <w:bottom w:type="dxa" w:w="60"/>
              <w:right w:type="dxa" w:w="80"/>
            </w:tcMar>
          </w:tcPr>
          <w:p>
            <w:pPr>
              <w:jc w:val="center"/>
            </w:pPr>
            <w:r>
              <w:rPr>
                <w:rFonts w:ascii="Calibri" w:cs="Calibri" w:eastAsia="Calibri" w:hAnsi="Calibri"/>
                <w:b/>
                <w:bCs/>
                <w:color w:val="1F2B45"/>
                <w:sz w:val="18"/>
                <w:szCs w:val="18"/>
              </w:rPr>
              <w:t xml:space="preserve">5</w:t>
            </w:r>
          </w:p>
        </w:tc>
        <w:tc>
          <w:tcPr>
            <w:tcW w:type="dxa" w:w="3400"/>
            <w:tcBorders>
              <w:top w:val="single" w:color="CCCCCC" w:sz="4"/>
              <w:left w:val="single" w:color="CCCCCC" w:sz="4"/>
              <w:bottom w:val="single" w:color="CCCCCC" w:sz="4"/>
              <w:right w:val="single" w:color="CCCCCC" w:sz="4"/>
            </w:tcBorders>
            <w:tcMar>
              <w:top w:type="dxa" w:w="60"/>
              <w:left w:type="dxa" w:w="100"/>
              <w:bottom w:type="dxa" w:w="60"/>
              <w:right w:type="dxa" w:w="100"/>
            </w:tcMar>
          </w:tcPr>
          <w:p>
            <w:r>
              <w:rPr>
                <w:rFonts w:ascii="Calibri" w:cs="Calibri" w:eastAsia="Calibri" w:hAnsi="Calibri"/>
                <w:b/>
                <w:bCs/>
                <w:color w:val="1F2B45"/>
                <w:sz w:val="18"/>
                <w:szCs w:val="18"/>
              </w:rPr>
              <w:t xml:space="preserve">Cost Competitiveness</w:t>
            </w:r>
          </w:p>
        </w:tc>
        <w:tc>
          <w:tcPr>
            <w:tcW w:type="dxa" w:w="1000"/>
            <w:tcBorders>
              <w:top w:val="single" w:color="CCCCCC" w:sz="4"/>
              <w:left w:val="single" w:color="CCCCCC" w:sz="4"/>
              <w:bottom w:val="single" w:color="CCCCCC" w:sz="4"/>
              <w:right w:val="single" w:color="CCCCCC" w:sz="4"/>
            </w:tcBorders>
            <w:shd w:fill="E8EDF4" w:val="clear"/>
            <w:tcMar>
              <w:top w:type="dxa" w:w="60"/>
              <w:left w:type="dxa" w:w="80"/>
              <w:bottom w:type="dxa" w:w="60"/>
              <w:right w:type="dxa" w:w="80"/>
            </w:tcMar>
          </w:tcPr>
          <w:p>
            <w:pPr>
              <w:jc w:val="center"/>
            </w:pPr>
            <w:r>
              <w:rPr>
                <w:rFonts w:ascii="Calibri" w:cs="Calibri" w:eastAsia="Calibri" w:hAnsi="Calibri"/>
                <w:b/>
                <w:bCs/>
                <w:color w:val="C9A84C"/>
                <w:sz w:val="18"/>
                <w:szCs w:val="18"/>
              </w:rPr>
              <w:t xml:space="preserve">10%</w:t>
            </w:r>
          </w:p>
        </w:tc>
        <w:tc>
          <w:tcPr>
            <w:tcW w:type="dxa" w:w="4560"/>
            <w:tcBorders>
              <w:top w:val="single" w:color="CCCCCC" w:sz="4"/>
              <w:left w:val="single" w:color="CCCCCC" w:sz="4"/>
              <w:bottom w:val="single" w:color="CCCCCC" w:sz="4"/>
              <w:right w:val="single" w:color="CCCCCC" w:sz="4"/>
            </w:tcBorders>
            <w:tcMar>
              <w:top w:type="dxa" w:w="60"/>
              <w:left w:type="dxa" w:w="100"/>
              <w:bottom w:type="dxa" w:w="60"/>
              <w:right w:type="dxa" w:w="100"/>
            </w:tcMar>
          </w:tcPr>
          <w:p>
            <w:r>
              <w:rPr>
                <w:rFonts w:ascii="Calibri" w:cs="Calibri" w:eastAsia="Calibri" w:hAnsi="Calibri"/>
                <w:color w:val="595959"/>
                <w:sz w:val="17"/>
                <w:szCs w:val="17"/>
              </w:rPr>
              <w:t xml:space="preserve">Price-to-performance ratio relative to peers at a comparable capability tier</w:t>
            </w:r>
          </w:p>
        </w:tc>
      </w:tr>
      <w:tr>
        <w:tc>
          <w:tcPr>
            <w:tcW w:type="dxa" w:w="400"/>
            <w:tcBorders>
              <w:top w:val="single" w:color="CCCCCC" w:sz="4"/>
              <w:left w:val="single" w:color="CCCCCC" w:sz="4"/>
              <w:bottom w:val="single" w:color="CCCCCC" w:sz="4"/>
              <w:right w:val="single" w:color="CCCCCC" w:sz="4"/>
            </w:tcBorders>
            <w:shd w:fill="F5F7FA" w:val="clear"/>
            <w:tcMar>
              <w:top w:type="dxa" w:w="60"/>
              <w:left w:type="dxa" w:w="80"/>
              <w:bottom w:type="dxa" w:w="60"/>
              <w:right w:type="dxa" w:w="80"/>
            </w:tcMar>
          </w:tcPr>
          <w:p>
            <w:pPr>
              <w:jc w:val="center"/>
            </w:pPr>
            <w:r>
              <w:rPr>
                <w:rFonts w:ascii="Calibri" w:cs="Calibri" w:eastAsia="Calibri" w:hAnsi="Calibri"/>
                <w:b/>
                <w:bCs/>
                <w:color w:val="1F2B45"/>
                <w:sz w:val="18"/>
                <w:szCs w:val="18"/>
              </w:rPr>
              <w:t xml:space="preserve">6</w:t>
            </w:r>
          </w:p>
        </w:tc>
        <w:tc>
          <w:tcPr>
            <w:tcW w:type="dxa" w:w="3400"/>
            <w:tcBorders>
              <w:top w:val="single" w:color="CCCCCC" w:sz="4"/>
              <w:left w:val="single" w:color="CCCCCC" w:sz="4"/>
              <w:bottom w:val="single" w:color="CCCCCC" w:sz="4"/>
              <w:right w:val="single" w:color="CCCCCC" w:sz="4"/>
            </w:tcBorders>
            <w:tcMar>
              <w:top w:type="dxa" w:w="60"/>
              <w:left w:type="dxa" w:w="100"/>
              <w:bottom w:type="dxa" w:w="60"/>
              <w:right w:type="dxa" w:w="100"/>
            </w:tcMar>
          </w:tcPr>
          <w:p>
            <w:r>
              <w:rPr>
                <w:rFonts w:ascii="Calibri" w:cs="Calibri" w:eastAsia="Calibri" w:hAnsi="Calibri"/>
                <w:b/>
                <w:bCs/>
                <w:color w:val="1F2B45"/>
                <w:sz w:val="18"/>
                <w:szCs w:val="18"/>
              </w:rPr>
              <w:t xml:space="preserve">Strategic Differentiation</w:t>
            </w:r>
          </w:p>
        </w:tc>
        <w:tc>
          <w:tcPr>
            <w:tcW w:type="dxa" w:w="1000"/>
            <w:tcBorders>
              <w:top w:val="single" w:color="CCCCCC" w:sz="4"/>
              <w:left w:val="single" w:color="CCCCCC" w:sz="4"/>
              <w:bottom w:val="single" w:color="CCCCCC" w:sz="4"/>
              <w:right w:val="single" w:color="CCCCCC" w:sz="4"/>
            </w:tcBorders>
            <w:shd w:fill="E8EDF4" w:val="clear"/>
            <w:tcMar>
              <w:top w:type="dxa" w:w="60"/>
              <w:left w:type="dxa" w:w="80"/>
              <w:bottom w:type="dxa" w:w="60"/>
              <w:right w:type="dxa" w:w="80"/>
            </w:tcMar>
          </w:tcPr>
          <w:p>
            <w:pPr>
              <w:jc w:val="center"/>
            </w:pPr>
            <w:r>
              <w:rPr>
                <w:rFonts w:ascii="Calibri" w:cs="Calibri" w:eastAsia="Calibri" w:hAnsi="Calibri"/>
                <w:b/>
                <w:bCs/>
                <w:color w:val="C9A84C"/>
                <w:sz w:val="18"/>
                <w:szCs w:val="18"/>
              </w:rPr>
              <w:t xml:space="preserve">10%</w:t>
            </w:r>
          </w:p>
        </w:tc>
        <w:tc>
          <w:tcPr>
            <w:tcW w:type="dxa" w:w="4560"/>
            <w:tcBorders>
              <w:top w:val="single" w:color="CCCCCC" w:sz="4"/>
              <w:left w:val="single" w:color="CCCCCC" w:sz="4"/>
              <w:bottom w:val="single" w:color="CCCCCC" w:sz="4"/>
              <w:right w:val="single" w:color="CCCCCC" w:sz="4"/>
            </w:tcBorders>
            <w:tcMar>
              <w:top w:type="dxa" w:w="60"/>
              <w:left w:type="dxa" w:w="100"/>
              <w:bottom w:type="dxa" w:w="60"/>
              <w:right w:type="dxa" w:w="100"/>
            </w:tcMar>
          </w:tcPr>
          <w:p>
            <w:r>
              <w:rPr>
                <w:rFonts w:ascii="Calibri" w:cs="Calibri" w:eastAsia="Calibri" w:hAnsi="Calibri"/>
                <w:color w:val="595959"/>
                <w:sz w:val="17"/>
                <w:szCs w:val="17"/>
              </w:rPr>
              <w:t xml:space="preserve">Unique defensible positioning, regulatory/compliance moats, market niche clarity</w:t>
            </w:r>
          </w:p>
        </w:tc>
      </w:tr>
    </w:tbl>
    <w:p>
      <w:pPr>
        <w:spacing w:after="200"/>
      </w:pPr>
      <w:r>
        <w:t xml:space="preserve"/>
      </w:r>
    </w:p>
    <w:p>
      <w:pPr>
        <w:pStyle w:val="Heading2"/>
        <w:pBdr>
          <w:bottom w:val="single" w:color="C9A84C" w:sz="4"/>
        </w:pBdr>
        <w:spacing w:before="200" w:after="80"/>
      </w:pPr>
      <w:r>
        <w:rPr>
          <w:rFonts w:ascii="Calibri" w:cs="Calibri" w:eastAsia="Calibri" w:hAnsi="Calibri"/>
          <w:b/>
          <w:bCs/>
          <w:color w:val="1F2B45"/>
          <w:sz w:val="26"/>
          <w:szCs w:val="26"/>
        </w:rPr>
        <w:t xml:space="preserve">Ranked Scoring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00"/>
        <w:gridCol w:w="2800"/>
        <w:gridCol w:w="1800"/>
        <w:gridCol w:w="900"/>
        <w:gridCol w:w="900"/>
        <w:gridCol w:w="900"/>
        <w:gridCol w:w="900"/>
        <w:gridCol w:w="700"/>
        <w:gridCol w:w="960"/>
      </w:tblGrid>
      <w:tr>
        <w:tc>
          <w:tcPr>
            <w:tcW w:type="dxa" w:w="500"/>
            <w:tcBorders>
              <w:top w:val="single" w:color="CCCCCC" w:sz="4"/>
              <w:left w:val="single" w:color="CCCCCC" w:sz="4"/>
              <w:bottom w:val="single" w:color="CCCCCC" w:sz="4"/>
              <w:right w:val="single" w:color="CCCCCC" w:sz="4"/>
            </w:tcBorders>
            <w:shd w:fill="1F2B45" w:val="clear"/>
            <w:tcMar>
              <w:top w:type="dxa" w:w="60"/>
              <w:left w:type="dxa" w:w="60"/>
              <w:bottom w:type="dxa" w:w="60"/>
              <w:right w:type="dxa" w:w="60"/>
            </w:tcMar>
          </w:tcPr>
          <w:p>
            <w:pPr>
              <w:jc w:val="center"/>
            </w:pPr>
            <w:r>
              <w:rPr>
                <w:rFonts w:ascii="Calibri" w:cs="Calibri" w:eastAsia="Calibri" w:hAnsi="Calibri"/>
                <w:b/>
                <w:bCs/>
                <w:color w:val="FFFFFF"/>
                <w:sz w:val="16"/>
                <w:szCs w:val="16"/>
              </w:rPr>
              <w:t xml:space="preserve">Rank</w:t>
            </w:r>
          </w:p>
        </w:tc>
        <w:tc>
          <w:tcPr>
            <w:tcW w:type="dxa" w:w="2800"/>
            <w:tcBorders>
              <w:top w:val="single" w:color="CCCCCC" w:sz="4"/>
              <w:left w:val="single" w:color="CCCCCC" w:sz="4"/>
              <w:bottom w:val="single" w:color="CCCCCC" w:sz="4"/>
              <w:right w:val="single" w:color="CCCCCC" w:sz="4"/>
            </w:tcBorders>
            <w:shd w:fill="1F2B45" w:val="clear"/>
            <w:tcMar>
              <w:top w:type="dxa" w:w="60"/>
              <w:left w:type="dxa" w:w="60"/>
              <w:bottom w:type="dxa" w:w="60"/>
              <w:right w:type="dxa" w:w="60"/>
            </w:tcMar>
          </w:tcPr>
          <w:p>
            <w:pPr>
              <w:jc w:val="center"/>
            </w:pPr>
            <w:r>
              <w:rPr>
                <w:rFonts w:ascii="Calibri" w:cs="Calibri" w:eastAsia="Calibri" w:hAnsi="Calibri"/>
                <w:b/>
                <w:bCs/>
                <w:color w:val="FFFFFF"/>
                <w:sz w:val="16"/>
                <w:szCs w:val="16"/>
              </w:rPr>
              <w:t xml:space="preserve">Model</w:t>
            </w:r>
          </w:p>
        </w:tc>
        <w:tc>
          <w:tcPr>
            <w:tcW w:type="dxa" w:w="1800"/>
            <w:tcBorders>
              <w:top w:val="single" w:color="CCCCCC" w:sz="4"/>
              <w:left w:val="single" w:color="CCCCCC" w:sz="4"/>
              <w:bottom w:val="single" w:color="CCCCCC" w:sz="4"/>
              <w:right w:val="single" w:color="CCCCCC" w:sz="4"/>
            </w:tcBorders>
            <w:shd w:fill="1F2B45" w:val="clear"/>
            <w:tcMar>
              <w:top w:type="dxa" w:w="60"/>
              <w:left w:type="dxa" w:w="60"/>
              <w:bottom w:type="dxa" w:w="60"/>
              <w:right w:type="dxa" w:w="60"/>
            </w:tcMar>
          </w:tcPr>
          <w:p>
            <w:pPr>
              <w:jc w:val="center"/>
            </w:pPr>
            <w:r>
              <w:rPr>
                <w:rFonts w:ascii="Calibri" w:cs="Calibri" w:eastAsia="Calibri" w:hAnsi="Calibri"/>
                <w:b/>
                <w:bCs/>
                <w:color w:val="FFFFFF"/>
                <w:sz w:val="16"/>
                <w:szCs w:val="16"/>
              </w:rPr>
              <w:t xml:space="preserve">Developer</w:t>
            </w:r>
          </w:p>
        </w:tc>
        <w:tc>
          <w:tcPr>
            <w:tcW w:type="dxa" w:w="900"/>
            <w:tcBorders>
              <w:top w:val="single" w:color="CCCCCC" w:sz="4"/>
              <w:left w:val="single" w:color="CCCCCC" w:sz="4"/>
              <w:bottom w:val="single" w:color="CCCCCC" w:sz="4"/>
              <w:right w:val="single" w:color="CCCCCC" w:sz="4"/>
            </w:tcBorders>
            <w:shd w:fill="1F2B45" w:val="clear"/>
            <w:tcMar>
              <w:top w:type="dxa" w:w="60"/>
              <w:left w:type="dxa" w:w="60"/>
              <w:bottom w:type="dxa" w:w="60"/>
              <w:right w:type="dxa" w:w="60"/>
            </w:tcMar>
          </w:tcPr>
          <w:p>
            <w:pPr>
              <w:jc w:val="center"/>
            </w:pPr>
            <w:r>
              <w:rPr>
                <w:rFonts w:ascii="Calibri" w:cs="Calibri" w:eastAsia="Calibri" w:hAnsi="Calibri"/>
                <w:b/>
                <w:bCs/>
                <w:color w:val="FFFFFF"/>
                <w:sz w:val="16"/>
                <w:szCs w:val="16"/>
              </w:rPr>
              <w:t xml:space="preserve">Ent. Adopt.</w:t>
            </w:r>
          </w:p>
        </w:tc>
        <w:tc>
          <w:tcPr>
            <w:tcW w:type="dxa" w:w="900"/>
            <w:tcBorders>
              <w:top w:val="single" w:color="CCCCCC" w:sz="4"/>
              <w:left w:val="single" w:color="CCCCCC" w:sz="4"/>
              <w:bottom w:val="single" w:color="CCCCCC" w:sz="4"/>
              <w:right w:val="single" w:color="CCCCCC" w:sz="4"/>
            </w:tcBorders>
            <w:shd w:fill="1F2B45" w:val="clear"/>
            <w:tcMar>
              <w:top w:type="dxa" w:w="60"/>
              <w:left w:type="dxa" w:w="60"/>
              <w:bottom w:type="dxa" w:w="60"/>
              <w:right w:type="dxa" w:w="60"/>
            </w:tcMar>
          </w:tcPr>
          <w:p>
            <w:pPr>
              <w:jc w:val="center"/>
            </w:pPr>
            <w:r>
              <w:rPr>
                <w:rFonts w:ascii="Calibri" w:cs="Calibri" w:eastAsia="Calibri" w:hAnsi="Calibri"/>
                <w:b/>
                <w:bCs/>
                <w:color w:val="FFFFFF"/>
                <w:sz w:val="16"/>
                <w:szCs w:val="16"/>
              </w:rPr>
              <w:t xml:space="preserve">Benchmark</w:t>
            </w:r>
          </w:p>
        </w:tc>
        <w:tc>
          <w:tcPr>
            <w:tcW w:type="dxa" w:w="900"/>
            <w:tcBorders>
              <w:top w:val="single" w:color="CCCCCC" w:sz="4"/>
              <w:left w:val="single" w:color="CCCCCC" w:sz="4"/>
              <w:bottom w:val="single" w:color="CCCCCC" w:sz="4"/>
              <w:right w:val="single" w:color="CCCCCC" w:sz="4"/>
            </w:tcBorders>
            <w:shd w:fill="1F2B45" w:val="clear"/>
            <w:tcMar>
              <w:top w:type="dxa" w:w="60"/>
              <w:left w:type="dxa" w:w="60"/>
              <w:bottom w:type="dxa" w:w="60"/>
              <w:right w:type="dxa" w:w="60"/>
            </w:tcMar>
          </w:tcPr>
          <w:p>
            <w:pPr>
              <w:jc w:val="center"/>
            </w:pPr>
            <w:r>
              <w:rPr>
                <w:rFonts w:ascii="Calibri" w:cs="Calibri" w:eastAsia="Calibri" w:hAnsi="Calibri"/>
                <w:b/>
                <w:bCs/>
                <w:color w:val="FFFFFF"/>
                <w:sz w:val="16"/>
                <w:szCs w:val="16"/>
              </w:rPr>
              <w:t xml:space="preserve">Rev./Mom.</w:t>
            </w:r>
          </w:p>
        </w:tc>
        <w:tc>
          <w:tcPr>
            <w:tcW w:type="dxa" w:w="900"/>
            <w:tcBorders>
              <w:top w:val="single" w:color="CCCCCC" w:sz="4"/>
              <w:left w:val="single" w:color="CCCCCC" w:sz="4"/>
              <w:bottom w:val="single" w:color="CCCCCC" w:sz="4"/>
              <w:right w:val="single" w:color="CCCCCC" w:sz="4"/>
            </w:tcBorders>
            <w:shd w:fill="1F2B45" w:val="clear"/>
            <w:tcMar>
              <w:top w:type="dxa" w:w="60"/>
              <w:left w:type="dxa" w:w="60"/>
              <w:bottom w:type="dxa" w:w="60"/>
              <w:right w:type="dxa" w:w="60"/>
            </w:tcMar>
          </w:tcPr>
          <w:p>
            <w:pPr>
              <w:jc w:val="center"/>
            </w:pPr>
            <w:r>
              <w:rPr>
                <w:rFonts w:ascii="Calibri" w:cs="Calibri" w:eastAsia="Calibri" w:hAnsi="Calibri"/>
                <w:b/>
                <w:bCs/>
                <w:color w:val="FFFFFF"/>
                <w:sz w:val="16"/>
                <w:szCs w:val="16"/>
              </w:rPr>
              <w:t xml:space="preserve">Eco./Int.</w:t>
            </w:r>
          </w:p>
        </w:tc>
        <w:tc>
          <w:tcPr>
            <w:tcW w:type="dxa" w:w="700"/>
            <w:tcBorders>
              <w:top w:val="single" w:color="CCCCCC" w:sz="4"/>
              <w:left w:val="single" w:color="CCCCCC" w:sz="4"/>
              <w:bottom w:val="single" w:color="CCCCCC" w:sz="4"/>
              <w:right w:val="single" w:color="CCCCCC" w:sz="4"/>
            </w:tcBorders>
            <w:shd w:fill="1F2B45" w:val="clear"/>
            <w:tcMar>
              <w:top w:type="dxa" w:w="60"/>
              <w:left w:type="dxa" w:w="60"/>
              <w:bottom w:type="dxa" w:w="60"/>
              <w:right w:type="dxa" w:w="60"/>
            </w:tcMar>
          </w:tcPr>
          <w:p>
            <w:pPr>
              <w:jc w:val="center"/>
            </w:pPr>
            <w:r>
              <w:rPr>
                <w:rFonts w:ascii="Calibri" w:cs="Calibri" w:eastAsia="Calibri" w:hAnsi="Calibri"/>
                <w:b/>
                <w:bCs/>
                <w:color w:val="FFFFFF"/>
                <w:sz w:val="16"/>
                <w:szCs w:val="16"/>
              </w:rPr>
              <w:t xml:space="preserve">Cost</w:t>
            </w:r>
          </w:p>
        </w:tc>
        <w:tc>
          <w:tcPr>
            <w:tcW w:type="dxa" w:w="960"/>
            <w:tcBorders>
              <w:top w:val="single" w:color="CCCCCC" w:sz="4"/>
              <w:left w:val="single" w:color="CCCCCC" w:sz="4"/>
              <w:bottom w:val="single" w:color="CCCCCC" w:sz="4"/>
              <w:right w:val="single" w:color="CCCCCC" w:sz="4"/>
            </w:tcBorders>
            <w:shd w:fill="1F2B45" w:val="clear"/>
            <w:tcMar>
              <w:top w:type="dxa" w:w="60"/>
              <w:left w:type="dxa" w:w="60"/>
              <w:bottom w:type="dxa" w:w="60"/>
              <w:right w:type="dxa" w:w="60"/>
            </w:tcMar>
          </w:tcPr>
          <w:p>
            <w:pPr>
              <w:jc w:val="center"/>
            </w:pPr>
            <w:r>
              <w:rPr>
                <w:rFonts w:ascii="Calibri" w:cs="Calibri" w:eastAsia="Calibri" w:hAnsi="Calibri"/>
                <w:b/>
                <w:bCs/>
                <w:color w:val="FFFFFF"/>
                <w:sz w:val="16"/>
                <w:szCs w:val="16"/>
              </w:rPr>
              <w:t xml:space="preserve">Strat. Diff.</w:t>
            </w:r>
          </w:p>
        </w:tc>
      </w:tr>
      <w:tr>
        <w:tc>
          <w:tcPr>
            <w:tcW w:type="dxa" w:w="500"/>
            <w:tcBorders>
              <w:top w:val="single" w:color="CCCCCC" w:sz="4"/>
              <w:left w:val="single" w:color="CCCCCC" w:sz="4"/>
              <w:bottom w:val="single" w:color="CCCCCC" w:sz="4"/>
              <w:right w:val="single" w:color="CCCCCC" w:sz="4"/>
            </w:tcBorders>
            <w:shd w:fill="F5F7FA" w:val="clear"/>
            <w:tcMar>
              <w:top w:type="dxa" w:w="60"/>
              <w:left w:type="dxa" w:w="60"/>
              <w:bottom w:type="dxa" w:w="60"/>
              <w:right w:type="dxa" w:w="60"/>
            </w:tcMar>
          </w:tcPr>
          <w:p>
            <w:pPr>
              <w:jc w:val="center"/>
            </w:pPr>
            <w:r>
              <w:rPr>
                <w:rFonts w:ascii="Calibri" w:cs="Calibri" w:eastAsia="Calibri" w:hAnsi="Calibri"/>
                <w:b/>
                <w:bCs/>
                <w:color w:val="1F2B45"/>
                <w:sz w:val="17"/>
                <w:szCs w:val="17"/>
              </w:rPr>
              <w:t xml:space="preserve">#1</w:t>
            </w:r>
          </w:p>
        </w:tc>
        <w:tc>
          <w:tcPr>
            <w:tcW w:type="dxa" w:w="2800"/>
            <w:tcBorders>
              <w:top w:val="single" w:color="CCCCCC" w:sz="4"/>
              <w:left w:val="single" w:color="CCCCCC" w:sz="4"/>
              <w:bottom w:val="single" w:color="CCCCCC" w:sz="4"/>
              <w:right w:val="single" w:color="CCCCCC" w:sz="4"/>
            </w:tcBorders>
            <w:shd w:fill="F5F7FA" w:val="clear"/>
            <w:tcMar>
              <w:top w:type="dxa" w:w="60"/>
              <w:left w:type="dxa" w:w="80"/>
              <w:bottom w:type="dxa" w:w="60"/>
              <w:right w:type="dxa" w:w="60"/>
            </w:tcMar>
          </w:tcPr>
          <w:p>
            <w:r>
              <w:rPr>
                <w:rFonts w:ascii="Calibri" w:cs="Calibri" w:eastAsia="Calibri" w:hAnsi="Calibri"/>
                <w:b/>
                <w:bCs/>
                <w:color w:val="1F2B45"/>
                <w:sz w:val="17"/>
                <w:szCs w:val="17"/>
              </w:rPr>
              <w:t xml:space="preserve">GPT-5.4</w:t>
            </w:r>
          </w:p>
        </w:tc>
        <w:tc>
          <w:tcPr>
            <w:tcW w:type="dxa" w:w="1800"/>
            <w:tcBorders>
              <w:top w:val="single" w:color="CCCCCC" w:sz="4"/>
              <w:left w:val="single" w:color="CCCCCC" w:sz="4"/>
              <w:bottom w:val="single" w:color="CCCCCC" w:sz="4"/>
              <w:right w:val="single" w:color="CCCCCC" w:sz="4"/>
            </w:tcBorders>
            <w:shd w:fill="F5F7FA" w:val="clear"/>
            <w:tcMar>
              <w:top w:type="dxa" w:w="60"/>
              <w:left w:type="dxa" w:w="80"/>
              <w:bottom w:type="dxa" w:w="60"/>
              <w:right w:type="dxa" w:w="60"/>
            </w:tcMar>
          </w:tcPr>
          <w:p>
            <w:r>
              <w:rPr>
                <w:rFonts w:ascii="Calibri" w:cs="Calibri" w:eastAsia="Calibri" w:hAnsi="Calibri"/>
                <w:color w:val="595959"/>
                <w:sz w:val="16"/>
                <w:szCs w:val="16"/>
              </w:rPr>
              <w:t xml:space="preserve">OpenAI</w:t>
            </w:r>
          </w:p>
        </w:tc>
        <w:tc>
          <w:tcPr>
            <w:tcW w:type="dxa" w:w="900"/>
            <w:tcBorders>
              <w:top w:val="single" w:color="CCCCCC" w:sz="4"/>
              <w:left w:val="single" w:color="CCCCCC" w:sz="4"/>
              <w:bottom w:val="single" w:color="CCCCCC" w:sz="4"/>
              <w:right w:val="single" w:color="CCCCCC" w:sz="4"/>
            </w:tcBorders>
            <w:shd w:fill="F5F7FA"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9</w:t>
            </w:r>
          </w:p>
        </w:tc>
        <w:tc>
          <w:tcPr>
            <w:tcW w:type="dxa" w:w="900"/>
            <w:tcBorders>
              <w:top w:val="single" w:color="CCCCCC" w:sz="4"/>
              <w:left w:val="single" w:color="CCCCCC" w:sz="4"/>
              <w:bottom w:val="single" w:color="CCCCCC" w:sz="4"/>
              <w:right w:val="single" w:color="CCCCCC" w:sz="4"/>
            </w:tcBorders>
            <w:shd w:fill="F5F7FA"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9</w:t>
            </w:r>
          </w:p>
        </w:tc>
        <w:tc>
          <w:tcPr>
            <w:tcW w:type="dxa" w:w="900"/>
            <w:tcBorders>
              <w:top w:val="single" w:color="CCCCCC" w:sz="4"/>
              <w:left w:val="single" w:color="CCCCCC" w:sz="4"/>
              <w:bottom w:val="single" w:color="CCCCCC" w:sz="4"/>
              <w:right w:val="single" w:color="CCCCCC" w:sz="4"/>
            </w:tcBorders>
            <w:shd w:fill="F5F7FA"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9</w:t>
            </w:r>
          </w:p>
        </w:tc>
        <w:tc>
          <w:tcPr>
            <w:tcW w:type="dxa" w:w="900"/>
            <w:tcBorders>
              <w:top w:val="single" w:color="CCCCCC" w:sz="4"/>
              <w:left w:val="single" w:color="CCCCCC" w:sz="4"/>
              <w:bottom w:val="single" w:color="CCCCCC" w:sz="4"/>
              <w:right w:val="single" w:color="CCCCCC" w:sz="4"/>
            </w:tcBorders>
            <w:shd w:fill="F5F7FA"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9</w:t>
            </w:r>
          </w:p>
        </w:tc>
        <w:tc>
          <w:tcPr>
            <w:tcW w:type="dxa" w:w="700"/>
            <w:tcBorders>
              <w:top w:val="single" w:color="CCCCCC" w:sz="4"/>
              <w:left w:val="single" w:color="CCCCCC" w:sz="4"/>
              <w:bottom w:val="single" w:color="CCCCCC" w:sz="4"/>
              <w:right w:val="single" w:color="CCCCCC" w:sz="4"/>
            </w:tcBorders>
            <w:shd w:fill="F5F7FA"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5</w:t>
            </w:r>
          </w:p>
        </w:tc>
        <w:tc>
          <w:tcPr>
            <w:tcW w:type="dxa" w:w="960"/>
            <w:tcBorders>
              <w:top w:val="single" w:color="CCCCCC" w:sz="4"/>
              <w:left w:val="single" w:color="CCCCCC" w:sz="4"/>
              <w:bottom w:val="single" w:color="CCCCCC" w:sz="4"/>
              <w:right w:val="single" w:color="CCCCCC" w:sz="4"/>
            </w:tcBorders>
            <w:shd w:fill="F5F7FA"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8</w:t>
            </w:r>
          </w:p>
        </w:tc>
      </w:tr>
      <w:tr>
        <w:tc>
          <w:tcPr>
            <w:tcW w:type="dxa" w:w="500"/>
            <w:tcBorders>
              <w:top w:val="single" w:color="CCCCCC" w:sz="4"/>
              <w:left w:val="single" w:color="CCCCCC" w:sz="4"/>
              <w:bottom w:val="single" w:color="CCCCCC" w:sz="4"/>
              <w:right w:val="single" w:color="CCCCCC" w:sz="4"/>
            </w:tcBorders>
            <w:shd w:fill="FFFFFF" w:val="clear"/>
            <w:tcMar>
              <w:top w:type="dxa" w:w="60"/>
              <w:left w:type="dxa" w:w="60"/>
              <w:bottom w:type="dxa" w:w="60"/>
              <w:right w:type="dxa" w:w="60"/>
            </w:tcMar>
          </w:tcPr>
          <w:p>
            <w:pPr>
              <w:jc w:val="center"/>
            </w:pPr>
            <w:r>
              <w:rPr>
                <w:rFonts w:ascii="Calibri" w:cs="Calibri" w:eastAsia="Calibri" w:hAnsi="Calibri"/>
                <w:b/>
                <w:bCs/>
                <w:color w:val="1F2B45"/>
                <w:sz w:val="17"/>
                <w:szCs w:val="17"/>
              </w:rPr>
              <w:t xml:space="preserve">#2</w:t>
            </w:r>
          </w:p>
        </w:tc>
        <w:tc>
          <w:tcPr>
            <w:tcW w:type="dxa" w:w="2800"/>
            <w:tcBorders>
              <w:top w:val="single" w:color="CCCCCC" w:sz="4"/>
              <w:left w:val="single" w:color="CCCCCC" w:sz="4"/>
              <w:bottom w:val="single" w:color="CCCCCC" w:sz="4"/>
              <w:right w:val="single" w:color="CCCCCC" w:sz="4"/>
            </w:tcBorders>
            <w:shd w:fill="FFFFFF" w:val="clear"/>
            <w:tcMar>
              <w:top w:type="dxa" w:w="60"/>
              <w:left w:type="dxa" w:w="80"/>
              <w:bottom w:type="dxa" w:w="60"/>
              <w:right w:type="dxa" w:w="60"/>
            </w:tcMar>
          </w:tcPr>
          <w:p>
            <w:r>
              <w:rPr>
                <w:rFonts w:ascii="Calibri" w:cs="Calibri" w:eastAsia="Calibri" w:hAnsi="Calibri"/>
                <w:b/>
                <w:bCs/>
                <w:color w:val="1F2B45"/>
                <w:sz w:val="17"/>
                <w:szCs w:val="17"/>
              </w:rPr>
              <w:t xml:space="preserve">Gemini 3.1 Pro</w:t>
            </w:r>
          </w:p>
        </w:tc>
        <w:tc>
          <w:tcPr>
            <w:tcW w:type="dxa" w:w="1800"/>
            <w:tcBorders>
              <w:top w:val="single" w:color="CCCCCC" w:sz="4"/>
              <w:left w:val="single" w:color="CCCCCC" w:sz="4"/>
              <w:bottom w:val="single" w:color="CCCCCC" w:sz="4"/>
              <w:right w:val="single" w:color="CCCCCC" w:sz="4"/>
            </w:tcBorders>
            <w:shd w:fill="FFFFFF" w:val="clear"/>
            <w:tcMar>
              <w:top w:type="dxa" w:w="60"/>
              <w:left w:type="dxa" w:w="80"/>
              <w:bottom w:type="dxa" w:w="60"/>
              <w:right w:type="dxa" w:w="60"/>
            </w:tcMar>
          </w:tcPr>
          <w:p>
            <w:r>
              <w:rPr>
                <w:rFonts w:ascii="Calibri" w:cs="Calibri" w:eastAsia="Calibri" w:hAnsi="Calibri"/>
                <w:color w:val="595959"/>
                <w:sz w:val="16"/>
                <w:szCs w:val="16"/>
              </w:rPr>
              <w:t xml:space="preserve">Google</w:t>
            </w:r>
          </w:p>
        </w:tc>
        <w:tc>
          <w:tcPr>
            <w:tcW w:type="dxa" w:w="900"/>
            <w:tcBorders>
              <w:top w:val="single" w:color="CCCCCC" w:sz="4"/>
              <w:left w:val="single" w:color="CCCCCC" w:sz="4"/>
              <w:bottom w:val="single" w:color="CCCCCC" w:sz="4"/>
              <w:right w:val="single" w:color="CCCCCC" w:sz="4"/>
            </w:tcBorders>
            <w:shd w:fill="FFFFFF"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8</w:t>
            </w:r>
          </w:p>
        </w:tc>
        <w:tc>
          <w:tcPr>
            <w:tcW w:type="dxa" w:w="900"/>
            <w:tcBorders>
              <w:top w:val="single" w:color="CCCCCC" w:sz="4"/>
              <w:left w:val="single" w:color="CCCCCC" w:sz="4"/>
              <w:bottom w:val="single" w:color="CCCCCC" w:sz="4"/>
              <w:right w:val="single" w:color="CCCCCC" w:sz="4"/>
            </w:tcBorders>
            <w:shd w:fill="FFFFFF"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9</w:t>
            </w:r>
          </w:p>
        </w:tc>
        <w:tc>
          <w:tcPr>
            <w:tcW w:type="dxa" w:w="900"/>
            <w:tcBorders>
              <w:top w:val="single" w:color="CCCCCC" w:sz="4"/>
              <w:left w:val="single" w:color="CCCCCC" w:sz="4"/>
              <w:bottom w:val="single" w:color="CCCCCC" w:sz="4"/>
              <w:right w:val="single" w:color="CCCCCC" w:sz="4"/>
            </w:tcBorders>
            <w:shd w:fill="FFFFFF"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8</w:t>
            </w:r>
          </w:p>
        </w:tc>
        <w:tc>
          <w:tcPr>
            <w:tcW w:type="dxa" w:w="900"/>
            <w:tcBorders>
              <w:top w:val="single" w:color="CCCCCC" w:sz="4"/>
              <w:left w:val="single" w:color="CCCCCC" w:sz="4"/>
              <w:bottom w:val="single" w:color="CCCCCC" w:sz="4"/>
              <w:right w:val="single" w:color="CCCCCC" w:sz="4"/>
            </w:tcBorders>
            <w:shd w:fill="FFFFFF"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8</w:t>
            </w:r>
          </w:p>
        </w:tc>
        <w:tc>
          <w:tcPr>
            <w:tcW w:type="dxa" w:w="700"/>
            <w:tcBorders>
              <w:top w:val="single" w:color="CCCCCC" w:sz="4"/>
              <w:left w:val="single" w:color="CCCCCC" w:sz="4"/>
              <w:bottom w:val="single" w:color="CCCCCC" w:sz="4"/>
              <w:right w:val="single" w:color="CCCCCC" w:sz="4"/>
            </w:tcBorders>
            <w:shd w:fill="FFFFFF"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9</w:t>
            </w:r>
          </w:p>
        </w:tc>
        <w:tc>
          <w:tcPr>
            <w:tcW w:type="dxa" w:w="960"/>
            <w:tcBorders>
              <w:top w:val="single" w:color="CCCCCC" w:sz="4"/>
              <w:left w:val="single" w:color="CCCCCC" w:sz="4"/>
              <w:bottom w:val="single" w:color="CCCCCC" w:sz="4"/>
              <w:right w:val="single" w:color="CCCCCC" w:sz="4"/>
            </w:tcBorders>
            <w:shd w:fill="FFFFFF"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7</w:t>
            </w:r>
          </w:p>
        </w:tc>
      </w:tr>
      <w:tr>
        <w:tc>
          <w:tcPr>
            <w:tcW w:type="dxa" w:w="500"/>
            <w:tcBorders>
              <w:top w:val="single" w:color="CCCCCC" w:sz="4"/>
              <w:left w:val="single" w:color="CCCCCC" w:sz="4"/>
              <w:bottom w:val="single" w:color="CCCCCC" w:sz="4"/>
              <w:right w:val="single" w:color="CCCCCC" w:sz="4"/>
            </w:tcBorders>
            <w:shd w:fill="F5F7FA" w:val="clear"/>
            <w:tcMar>
              <w:top w:type="dxa" w:w="60"/>
              <w:left w:type="dxa" w:w="60"/>
              <w:bottom w:type="dxa" w:w="60"/>
              <w:right w:type="dxa" w:w="60"/>
            </w:tcMar>
          </w:tcPr>
          <w:p>
            <w:pPr>
              <w:jc w:val="center"/>
            </w:pPr>
            <w:r>
              <w:rPr>
                <w:rFonts w:ascii="Calibri" w:cs="Calibri" w:eastAsia="Calibri" w:hAnsi="Calibri"/>
                <w:b/>
                <w:bCs/>
                <w:color w:val="1F2B45"/>
                <w:sz w:val="17"/>
                <w:szCs w:val="17"/>
              </w:rPr>
              <w:t xml:space="preserve">#3</w:t>
            </w:r>
          </w:p>
        </w:tc>
        <w:tc>
          <w:tcPr>
            <w:tcW w:type="dxa" w:w="2800"/>
            <w:tcBorders>
              <w:top w:val="single" w:color="CCCCCC" w:sz="4"/>
              <w:left w:val="single" w:color="CCCCCC" w:sz="4"/>
              <w:bottom w:val="single" w:color="CCCCCC" w:sz="4"/>
              <w:right w:val="single" w:color="CCCCCC" w:sz="4"/>
            </w:tcBorders>
            <w:shd w:fill="F5F7FA" w:val="clear"/>
            <w:tcMar>
              <w:top w:type="dxa" w:w="60"/>
              <w:left w:type="dxa" w:w="80"/>
              <w:bottom w:type="dxa" w:w="60"/>
              <w:right w:type="dxa" w:w="60"/>
            </w:tcMar>
          </w:tcPr>
          <w:p>
            <w:r>
              <w:rPr>
                <w:rFonts w:ascii="Calibri" w:cs="Calibri" w:eastAsia="Calibri" w:hAnsi="Calibri"/>
                <w:b/>
                <w:bCs/>
                <w:color w:val="1F2B45"/>
                <w:sz w:val="17"/>
                <w:szCs w:val="17"/>
              </w:rPr>
              <w:t xml:space="preserve">Microsoft Copilot</w:t>
            </w:r>
          </w:p>
        </w:tc>
        <w:tc>
          <w:tcPr>
            <w:tcW w:type="dxa" w:w="1800"/>
            <w:tcBorders>
              <w:top w:val="single" w:color="CCCCCC" w:sz="4"/>
              <w:left w:val="single" w:color="CCCCCC" w:sz="4"/>
              <w:bottom w:val="single" w:color="CCCCCC" w:sz="4"/>
              <w:right w:val="single" w:color="CCCCCC" w:sz="4"/>
            </w:tcBorders>
            <w:shd w:fill="F5F7FA" w:val="clear"/>
            <w:tcMar>
              <w:top w:type="dxa" w:w="60"/>
              <w:left w:type="dxa" w:w="80"/>
              <w:bottom w:type="dxa" w:w="60"/>
              <w:right w:type="dxa" w:w="60"/>
            </w:tcMar>
          </w:tcPr>
          <w:p>
            <w:r>
              <w:rPr>
                <w:rFonts w:ascii="Calibri" w:cs="Calibri" w:eastAsia="Calibri" w:hAnsi="Calibri"/>
                <w:color w:val="595959"/>
                <w:sz w:val="16"/>
                <w:szCs w:val="16"/>
              </w:rPr>
              <w:t xml:space="preserve">Microsoft</w:t>
            </w:r>
          </w:p>
        </w:tc>
        <w:tc>
          <w:tcPr>
            <w:tcW w:type="dxa" w:w="900"/>
            <w:tcBorders>
              <w:top w:val="single" w:color="CCCCCC" w:sz="4"/>
              <w:left w:val="single" w:color="CCCCCC" w:sz="4"/>
              <w:bottom w:val="single" w:color="CCCCCC" w:sz="4"/>
              <w:right w:val="single" w:color="CCCCCC" w:sz="4"/>
            </w:tcBorders>
            <w:shd w:fill="F5F7FA"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9</w:t>
            </w:r>
          </w:p>
        </w:tc>
        <w:tc>
          <w:tcPr>
            <w:tcW w:type="dxa" w:w="900"/>
            <w:tcBorders>
              <w:top w:val="single" w:color="CCCCCC" w:sz="4"/>
              <w:left w:val="single" w:color="CCCCCC" w:sz="4"/>
              <w:bottom w:val="single" w:color="CCCCCC" w:sz="4"/>
              <w:right w:val="single" w:color="CCCCCC" w:sz="4"/>
            </w:tcBorders>
            <w:shd w:fill="F5F7FA"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6</w:t>
            </w:r>
          </w:p>
        </w:tc>
        <w:tc>
          <w:tcPr>
            <w:tcW w:type="dxa" w:w="900"/>
            <w:tcBorders>
              <w:top w:val="single" w:color="CCCCCC" w:sz="4"/>
              <w:left w:val="single" w:color="CCCCCC" w:sz="4"/>
              <w:bottom w:val="single" w:color="CCCCCC" w:sz="4"/>
              <w:right w:val="single" w:color="CCCCCC" w:sz="4"/>
            </w:tcBorders>
            <w:shd w:fill="F5F7FA"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9</w:t>
            </w:r>
          </w:p>
        </w:tc>
        <w:tc>
          <w:tcPr>
            <w:tcW w:type="dxa" w:w="900"/>
            <w:tcBorders>
              <w:top w:val="single" w:color="CCCCCC" w:sz="4"/>
              <w:left w:val="single" w:color="CCCCCC" w:sz="4"/>
              <w:bottom w:val="single" w:color="CCCCCC" w:sz="4"/>
              <w:right w:val="single" w:color="CCCCCC" w:sz="4"/>
            </w:tcBorders>
            <w:shd w:fill="F5F7FA"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9</w:t>
            </w:r>
          </w:p>
        </w:tc>
        <w:tc>
          <w:tcPr>
            <w:tcW w:type="dxa" w:w="700"/>
            <w:tcBorders>
              <w:top w:val="single" w:color="CCCCCC" w:sz="4"/>
              <w:left w:val="single" w:color="CCCCCC" w:sz="4"/>
              <w:bottom w:val="single" w:color="CCCCCC" w:sz="4"/>
              <w:right w:val="single" w:color="CCCCCC" w:sz="4"/>
            </w:tcBorders>
            <w:shd w:fill="F5F7FA"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4</w:t>
            </w:r>
          </w:p>
        </w:tc>
        <w:tc>
          <w:tcPr>
            <w:tcW w:type="dxa" w:w="960"/>
            <w:tcBorders>
              <w:top w:val="single" w:color="CCCCCC" w:sz="4"/>
              <w:left w:val="single" w:color="CCCCCC" w:sz="4"/>
              <w:bottom w:val="single" w:color="CCCCCC" w:sz="4"/>
              <w:right w:val="single" w:color="CCCCCC" w:sz="4"/>
            </w:tcBorders>
            <w:shd w:fill="F5F7FA"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8</w:t>
            </w:r>
          </w:p>
        </w:tc>
      </w:tr>
      <w:tr>
        <w:tc>
          <w:tcPr>
            <w:tcW w:type="dxa" w:w="500"/>
            <w:tcBorders>
              <w:top w:val="single" w:color="CCCCCC" w:sz="4"/>
              <w:left w:val="single" w:color="CCCCCC" w:sz="4"/>
              <w:bottom w:val="single" w:color="CCCCCC" w:sz="4"/>
              <w:right w:val="single" w:color="CCCCCC" w:sz="4"/>
            </w:tcBorders>
            <w:shd w:fill="FFFFFF" w:val="clear"/>
            <w:tcMar>
              <w:top w:type="dxa" w:w="60"/>
              <w:left w:type="dxa" w:w="60"/>
              <w:bottom w:type="dxa" w:w="60"/>
              <w:right w:type="dxa" w:w="60"/>
            </w:tcMar>
          </w:tcPr>
          <w:p>
            <w:pPr>
              <w:jc w:val="center"/>
            </w:pPr>
            <w:r>
              <w:rPr>
                <w:rFonts w:ascii="Calibri" w:cs="Calibri" w:eastAsia="Calibri" w:hAnsi="Calibri"/>
                <w:b/>
                <w:bCs/>
                <w:color w:val="1F2B45"/>
                <w:sz w:val="17"/>
                <w:szCs w:val="17"/>
              </w:rPr>
              <w:t xml:space="preserve">#4</w:t>
            </w:r>
          </w:p>
        </w:tc>
        <w:tc>
          <w:tcPr>
            <w:tcW w:type="dxa" w:w="2800"/>
            <w:tcBorders>
              <w:top w:val="single" w:color="CCCCCC" w:sz="4"/>
              <w:left w:val="single" w:color="CCCCCC" w:sz="4"/>
              <w:bottom w:val="single" w:color="CCCCCC" w:sz="4"/>
              <w:right w:val="single" w:color="CCCCCC" w:sz="4"/>
            </w:tcBorders>
            <w:shd w:fill="FFFFFF" w:val="clear"/>
            <w:tcMar>
              <w:top w:type="dxa" w:w="60"/>
              <w:left w:type="dxa" w:w="80"/>
              <w:bottom w:type="dxa" w:w="60"/>
              <w:right w:type="dxa" w:w="60"/>
            </w:tcMar>
          </w:tcPr>
          <w:p>
            <w:r>
              <w:rPr>
                <w:rFonts w:ascii="Calibri" w:cs="Calibri" w:eastAsia="Calibri" w:hAnsi="Calibri"/>
                <w:b/>
                <w:bCs/>
                <w:color w:val="1F2B45"/>
                <w:sz w:val="17"/>
                <w:szCs w:val="17"/>
              </w:rPr>
              <w:t xml:space="preserve">Claude Opus 4.6</w:t>
            </w:r>
          </w:p>
        </w:tc>
        <w:tc>
          <w:tcPr>
            <w:tcW w:type="dxa" w:w="1800"/>
            <w:tcBorders>
              <w:top w:val="single" w:color="CCCCCC" w:sz="4"/>
              <w:left w:val="single" w:color="CCCCCC" w:sz="4"/>
              <w:bottom w:val="single" w:color="CCCCCC" w:sz="4"/>
              <w:right w:val="single" w:color="CCCCCC" w:sz="4"/>
            </w:tcBorders>
            <w:shd w:fill="FFFFFF" w:val="clear"/>
            <w:tcMar>
              <w:top w:type="dxa" w:w="60"/>
              <w:left w:type="dxa" w:w="80"/>
              <w:bottom w:type="dxa" w:w="60"/>
              <w:right w:type="dxa" w:w="60"/>
            </w:tcMar>
          </w:tcPr>
          <w:p>
            <w:r>
              <w:rPr>
                <w:rFonts w:ascii="Calibri" w:cs="Calibri" w:eastAsia="Calibri" w:hAnsi="Calibri"/>
                <w:color w:val="595959"/>
                <w:sz w:val="16"/>
                <w:szCs w:val="16"/>
              </w:rPr>
              <w:t xml:space="preserve">Anthropic</w:t>
            </w:r>
          </w:p>
        </w:tc>
        <w:tc>
          <w:tcPr>
            <w:tcW w:type="dxa" w:w="900"/>
            <w:tcBorders>
              <w:top w:val="single" w:color="CCCCCC" w:sz="4"/>
              <w:left w:val="single" w:color="CCCCCC" w:sz="4"/>
              <w:bottom w:val="single" w:color="CCCCCC" w:sz="4"/>
              <w:right w:val="single" w:color="CCCCCC" w:sz="4"/>
            </w:tcBorders>
            <w:shd w:fill="FFFFFF"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7</w:t>
            </w:r>
          </w:p>
        </w:tc>
        <w:tc>
          <w:tcPr>
            <w:tcW w:type="dxa" w:w="900"/>
            <w:tcBorders>
              <w:top w:val="single" w:color="CCCCCC" w:sz="4"/>
              <w:left w:val="single" w:color="CCCCCC" w:sz="4"/>
              <w:bottom w:val="single" w:color="CCCCCC" w:sz="4"/>
              <w:right w:val="single" w:color="CCCCCC" w:sz="4"/>
            </w:tcBorders>
            <w:shd w:fill="FFFFFF"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9</w:t>
            </w:r>
          </w:p>
        </w:tc>
        <w:tc>
          <w:tcPr>
            <w:tcW w:type="dxa" w:w="900"/>
            <w:tcBorders>
              <w:top w:val="single" w:color="CCCCCC" w:sz="4"/>
              <w:left w:val="single" w:color="CCCCCC" w:sz="4"/>
              <w:bottom w:val="single" w:color="CCCCCC" w:sz="4"/>
              <w:right w:val="single" w:color="CCCCCC" w:sz="4"/>
            </w:tcBorders>
            <w:shd w:fill="FFFFFF"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7</w:t>
            </w:r>
          </w:p>
        </w:tc>
        <w:tc>
          <w:tcPr>
            <w:tcW w:type="dxa" w:w="900"/>
            <w:tcBorders>
              <w:top w:val="single" w:color="CCCCCC" w:sz="4"/>
              <w:left w:val="single" w:color="CCCCCC" w:sz="4"/>
              <w:bottom w:val="single" w:color="CCCCCC" w:sz="4"/>
              <w:right w:val="single" w:color="CCCCCC" w:sz="4"/>
            </w:tcBorders>
            <w:shd w:fill="FFFFFF"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7</w:t>
            </w:r>
          </w:p>
        </w:tc>
        <w:tc>
          <w:tcPr>
            <w:tcW w:type="dxa" w:w="700"/>
            <w:tcBorders>
              <w:top w:val="single" w:color="CCCCCC" w:sz="4"/>
              <w:left w:val="single" w:color="CCCCCC" w:sz="4"/>
              <w:bottom w:val="single" w:color="CCCCCC" w:sz="4"/>
              <w:right w:val="single" w:color="CCCCCC" w:sz="4"/>
            </w:tcBorders>
            <w:shd w:fill="FFFFFF"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4</w:t>
            </w:r>
          </w:p>
        </w:tc>
        <w:tc>
          <w:tcPr>
            <w:tcW w:type="dxa" w:w="960"/>
            <w:tcBorders>
              <w:top w:val="single" w:color="CCCCCC" w:sz="4"/>
              <w:left w:val="single" w:color="CCCCCC" w:sz="4"/>
              <w:bottom w:val="single" w:color="CCCCCC" w:sz="4"/>
              <w:right w:val="single" w:color="CCCCCC" w:sz="4"/>
            </w:tcBorders>
            <w:shd w:fill="FFFFFF"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9</w:t>
            </w:r>
          </w:p>
        </w:tc>
      </w:tr>
      <w:tr>
        <w:tc>
          <w:tcPr>
            <w:tcW w:type="dxa" w:w="500"/>
            <w:tcBorders>
              <w:top w:val="single" w:color="CCCCCC" w:sz="4"/>
              <w:left w:val="single" w:color="CCCCCC" w:sz="4"/>
              <w:bottom w:val="single" w:color="CCCCCC" w:sz="4"/>
              <w:right w:val="single" w:color="CCCCCC" w:sz="4"/>
            </w:tcBorders>
            <w:shd w:fill="F5F7FA" w:val="clear"/>
            <w:tcMar>
              <w:top w:type="dxa" w:w="60"/>
              <w:left w:type="dxa" w:w="60"/>
              <w:bottom w:type="dxa" w:w="60"/>
              <w:right w:type="dxa" w:w="60"/>
            </w:tcMar>
          </w:tcPr>
          <w:p>
            <w:pPr>
              <w:jc w:val="center"/>
            </w:pPr>
            <w:r>
              <w:rPr>
                <w:rFonts w:ascii="Calibri" w:cs="Calibri" w:eastAsia="Calibri" w:hAnsi="Calibri"/>
                <w:b/>
                <w:bCs/>
                <w:color w:val="1F2B45"/>
                <w:sz w:val="17"/>
                <w:szCs w:val="17"/>
              </w:rPr>
              <w:t xml:space="preserve">#5</w:t>
            </w:r>
          </w:p>
        </w:tc>
        <w:tc>
          <w:tcPr>
            <w:tcW w:type="dxa" w:w="2800"/>
            <w:tcBorders>
              <w:top w:val="single" w:color="CCCCCC" w:sz="4"/>
              <w:left w:val="single" w:color="CCCCCC" w:sz="4"/>
              <w:bottom w:val="single" w:color="CCCCCC" w:sz="4"/>
              <w:right w:val="single" w:color="CCCCCC" w:sz="4"/>
            </w:tcBorders>
            <w:shd w:fill="F5F7FA" w:val="clear"/>
            <w:tcMar>
              <w:top w:type="dxa" w:w="60"/>
              <w:left w:type="dxa" w:w="80"/>
              <w:bottom w:type="dxa" w:w="60"/>
              <w:right w:type="dxa" w:w="60"/>
            </w:tcMar>
          </w:tcPr>
          <w:p>
            <w:r>
              <w:rPr>
                <w:rFonts w:ascii="Calibri" w:cs="Calibri" w:eastAsia="Calibri" w:hAnsi="Calibri"/>
                <w:b/>
                <w:bCs/>
                <w:color w:val="1F2B45"/>
                <w:sz w:val="17"/>
                <w:szCs w:val="17"/>
              </w:rPr>
              <w:t xml:space="preserve">Llama 4 Maverick</w:t>
            </w:r>
          </w:p>
        </w:tc>
        <w:tc>
          <w:tcPr>
            <w:tcW w:type="dxa" w:w="1800"/>
            <w:tcBorders>
              <w:top w:val="single" w:color="CCCCCC" w:sz="4"/>
              <w:left w:val="single" w:color="CCCCCC" w:sz="4"/>
              <w:bottom w:val="single" w:color="CCCCCC" w:sz="4"/>
              <w:right w:val="single" w:color="CCCCCC" w:sz="4"/>
            </w:tcBorders>
            <w:shd w:fill="F5F7FA" w:val="clear"/>
            <w:tcMar>
              <w:top w:type="dxa" w:w="60"/>
              <w:left w:type="dxa" w:w="80"/>
              <w:bottom w:type="dxa" w:w="60"/>
              <w:right w:type="dxa" w:w="60"/>
            </w:tcMar>
          </w:tcPr>
          <w:p>
            <w:r>
              <w:rPr>
                <w:rFonts w:ascii="Calibri" w:cs="Calibri" w:eastAsia="Calibri" w:hAnsi="Calibri"/>
                <w:color w:val="595959"/>
                <w:sz w:val="16"/>
                <w:szCs w:val="16"/>
              </w:rPr>
              <w:t xml:space="preserve">Meta</w:t>
            </w:r>
          </w:p>
        </w:tc>
        <w:tc>
          <w:tcPr>
            <w:tcW w:type="dxa" w:w="900"/>
            <w:tcBorders>
              <w:top w:val="single" w:color="CCCCCC" w:sz="4"/>
              <w:left w:val="single" w:color="CCCCCC" w:sz="4"/>
              <w:bottom w:val="single" w:color="CCCCCC" w:sz="4"/>
              <w:right w:val="single" w:color="CCCCCC" w:sz="4"/>
            </w:tcBorders>
            <w:shd w:fill="F5F7FA"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7</w:t>
            </w:r>
          </w:p>
        </w:tc>
        <w:tc>
          <w:tcPr>
            <w:tcW w:type="dxa" w:w="900"/>
            <w:tcBorders>
              <w:top w:val="single" w:color="CCCCCC" w:sz="4"/>
              <w:left w:val="single" w:color="CCCCCC" w:sz="4"/>
              <w:bottom w:val="single" w:color="CCCCCC" w:sz="4"/>
              <w:right w:val="single" w:color="CCCCCC" w:sz="4"/>
            </w:tcBorders>
            <w:shd w:fill="F5F7FA"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7</w:t>
            </w:r>
          </w:p>
        </w:tc>
        <w:tc>
          <w:tcPr>
            <w:tcW w:type="dxa" w:w="900"/>
            <w:tcBorders>
              <w:top w:val="single" w:color="CCCCCC" w:sz="4"/>
              <w:left w:val="single" w:color="CCCCCC" w:sz="4"/>
              <w:bottom w:val="single" w:color="CCCCCC" w:sz="4"/>
              <w:right w:val="single" w:color="CCCCCC" w:sz="4"/>
            </w:tcBorders>
            <w:shd w:fill="F5F7FA"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6</w:t>
            </w:r>
          </w:p>
        </w:tc>
        <w:tc>
          <w:tcPr>
            <w:tcW w:type="dxa" w:w="900"/>
            <w:tcBorders>
              <w:top w:val="single" w:color="CCCCCC" w:sz="4"/>
              <w:left w:val="single" w:color="CCCCCC" w:sz="4"/>
              <w:bottom w:val="single" w:color="CCCCCC" w:sz="4"/>
              <w:right w:val="single" w:color="CCCCCC" w:sz="4"/>
            </w:tcBorders>
            <w:shd w:fill="F5F7FA"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8</w:t>
            </w:r>
          </w:p>
        </w:tc>
        <w:tc>
          <w:tcPr>
            <w:tcW w:type="dxa" w:w="700"/>
            <w:tcBorders>
              <w:top w:val="single" w:color="CCCCCC" w:sz="4"/>
              <w:left w:val="single" w:color="CCCCCC" w:sz="4"/>
              <w:bottom w:val="single" w:color="CCCCCC" w:sz="4"/>
              <w:right w:val="single" w:color="CCCCCC" w:sz="4"/>
            </w:tcBorders>
            <w:shd w:fill="F5F7FA"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9</w:t>
            </w:r>
          </w:p>
        </w:tc>
        <w:tc>
          <w:tcPr>
            <w:tcW w:type="dxa" w:w="960"/>
            <w:tcBorders>
              <w:top w:val="single" w:color="CCCCCC" w:sz="4"/>
              <w:left w:val="single" w:color="CCCCCC" w:sz="4"/>
              <w:bottom w:val="single" w:color="CCCCCC" w:sz="4"/>
              <w:right w:val="single" w:color="CCCCCC" w:sz="4"/>
            </w:tcBorders>
            <w:shd w:fill="F5F7FA"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7</w:t>
            </w:r>
          </w:p>
        </w:tc>
      </w:tr>
      <w:tr>
        <w:tc>
          <w:tcPr>
            <w:tcW w:type="dxa" w:w="500"/>
            <w:tcBorders>
              <w:top w:val="single" w:color="CCCCCC" w:sz="4"/>
              <w:left w:val="single" w:color="CCCCCC" w:sz="4"/>
              <w:bottom w:val="single" w:color="CCCCCC" w:sz="4"/>
              <w:right w:val="single" w:color="CCCCCC" w:sz="4"/>
            </w:tcBorders>
            <w:shd w:fill="FFFFFF" w:val="clear"/>
            <w:tcMar>
              <w:top w:type="dxa" w:w="60"/>
              <w:left w:type="dxa" w:w="60"/>
              <w:bottom w:type="dxa" w:w="60"/>
              <w:right w:type="dxa" w:w="60"/>
            </w:tcMar>
          </w:tcPr>
          <w:p>
            <w:pPr>
              <w:jc w:val="center"/>
            </w:pPr>
            <w:r>
              <w:rPr>
                <w:rFonts w:ascii="Calibri" w:cs="Calibri" w:eastAsia="Calibri" w:hAnsi="Calibri"/>
                <w:b/>
                <w:bCs/>
                <w:color w:val="1F2B45"/>
                <w:sz w:val="17"/>
                <w:szCs w:val="17"/>
              </w:rPr>
              <w:t xml:space="preserve">#6</w:t>
            </w:r>
          </w:p>
        </w:tc>
        <w:tc>
          <w:tcPr>
            <w:tcW w:type="dxa" w:w="2800"/>
            <w:tcBorders>
              <w:top w:val="single" w:color="CCCCCC" w:sz="4"/>
              <w:left w:val="single" w:color="CCCCCC" w:sz="4"/>
              <w:bottom w:val="single" w:color="CCCCCC" w:sz="4"/>
              <w:right w:val="single" w:color="CCCCCC" w:sz="4"/>
            </w:tcBorders>
            <w:shd w:fill="FFFFFF" w:val="clear"/>
            <w:tcMar>
              <w:top w:type="dxa" w:w="60"/>
              <w:left w:type="dxa" w:w="80"/>
              <w:bottom w:type="dxa" w:w="60"/>
              <w:right w:type="dxa" w:w="60"/>
            </w:tcMar>
          </w:tcPr>
          <w:p>
            <w:r>
              <w:rPr>
                <w:rFonts w:ascii="Calibri" w:cs="Calibri" w:eastAsia="Calibri" w:hAnsi="Calibri"/>
                <w:b/>
                <w:bCs/>
                <w:color w:val="1F2B45"/>
                <w:sz w:val="17"/>
                <w:szCs w:val="17"/>
              </w:rPr>
              <w:t xml:space="preserve">Grok 4.1</w:t>
            </w:r>
          </w:p>
        </w:tc>
        <w:tc>
          <w:tcPr>
            <w:tcW w:type="dxa" w:w="1800"/>
            <w:tcBorders>
              <w:top w:val="single" w:color="CCCCCC" w:sz="4"/>
              <w:left w:val="single" w:color="CCCCCC" w:sz="4"/>
              <w:bottom w:val="single" w:color="CCCCCC" w:sz="4"/>
              <w:right w:val="single" w:color="CCCCCC" w:sz="4"/>
            </w:tcBorders>
            <w:shd w:fill="FFFFFF" w:val="clear"/>
            <w:tcMar>
              <w:top w:type="dxa" w:w="60"/>
              <w:left w:type="dxa" w:w="80"/>
              <w:bottom w:type="dxa" w:w="60"/>
              <w:right w:type="dxa" w:w="60"/>
            </w:tcMar>
          </w:tcPr>
          <w:p>
            <w:r>
              <w:rPr>
                <w:rFonts w:ascii="Calibri" w:cs="Calibri" w:eastAsia="Calibri" w:hAnsi="Calibri"/>
                <w:color w:val="595959"/>
                <w:sz w:val="16"/>
                <w:szCs w:val="16"/>
              </w:rPr>
              <w:t xml:space="preserve">xAI</w:t>
            </w:r>
          </w:p>
        </w:tc>
        <w:tc>
          <w:tcPr>
            <w:tcW w:type="dxa" w:w="900"/>
            <w:tcBorders>
              <w:top w:val="single" w:color="CCCCCC" w:sz="4"/>
              <w:left w:val="single" w:color="CCCCCC" w:sz="4"/>
              <w:bottom w:val="single" w:color="CCCCCC" w:sz="4"/>
              <w:right w:val="single" w:color="CCCCCC" w:sz="4"/>
            </w:tcBorders>
            <w:shd w:fill="FFFFFF"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5</w:t>
            </w:r>
          </w:p>
        </w:tc>
        <w:tc>
          <w:tcPr>
            <w:tcW w:type="dxa" w:w="900"/>
            <w:tcBorders>
              <w:top w:val="single" w:color="CCCCCC" w:sz="4"/>
              <w:left w:val="single" w:color="CCCCCC" w:sz="4"/>
              <w:bottom w:val="single" w:color="CCCCCC" w:sz="4"/>
              <w:right w:val="single" w:color="CCCCCC" w:sz="4"/>
            </w:tcBorders>
            <w:shd w:fill="FFFFFF"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7</w:t>
            </w:r>
          </w:p>
        </w:tc>
        <w:tc>
          <w:tcPr>
            <w:tcW w:type="dxa" w:w="900"/>
            <w:tcBorders>
              <w:top w:val="single" w:color="CCCCCC" w:sz="4"/>
              <w:left w:val="single" w:color="CCCCCC" w:sz="4"/>
              <w:bottom w:val="single" w:color="CCCCCC" w:sz="4"/>
              <w:right w:val="single" w:color="CCCCCC" w:sz="4"/>
            </w:tcBorders>
            <w:shd w:fill="FFFFFF"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5</w:t>
            </w:r>
          </w:p>
        </w:tc>
        <w:tc>
          <w:tcPr>
            <w:tcW w:type="dxa" w:w="900"/>
            <w:tcBorders>
              <w:top w:val="single" w:color="CCCCCC" w:sz="4"/>
              <w:left w:val="single" w:color="CCCCCC" w:sz="4"/>
              <w:bottom w:val="single" w:color="CCCCCC" w:sz="4"/>
              <w:right w:val="single" w:color="CCCCCC" w:sz="4"/>
            </w:tcBorders>
            <w:shd w:fill="FFFFFF"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5</w:t>
            </w:r>
          </w:p>
        </w:tc>
        <w:tc>
          <w:tcPr>
            <w:tcW w:type="dxa" w:w="700"/>
            <w:tcBorders>
              <w:top w:val="single" w:color="CCCCCC" w:sz="4"/>
              <w:left w:val="single" w:color="CCCCCC" w:sz="4"/>
              <w:bottom w:val="single" w:color="CCCCCC" w:sz="4"/>
              <w:right w:val="single" w:color="CCCCCC" w:sz="4"/>
            </w:tcBorders>
            <w:shd w:fill="FFFFFF"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9</w:t>
            </w:r>
          </w:p>
        </w:tc>
        <w:tc>
          <w:tcPr>
            <w:tcW w:type="dxa" w:w="960"/>
            <w:tcBorders>
              <w:top w:val="single" w:color="CCCCCC" w:sz="4"/>
              <w:left w:val="single" w:color="CCCCCC" w:sz="4"/>
              <w:bottom w:val="single" w:color="CCCCCC" w:sz="4"/>
              <w:right w:val="single" w:color="CCCCCC" w:sz="4"/>
            </w:tcBorders>
            <w:shd w:fill="FFFFFF"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7</w:t>
            </w:r>
          </w:p>
        </w:tc>
      </w:tr>
      <w:tr>
        <w:tc>
          <w:tcPr>
            <w:tcW w:type="dxa" w:w="500"/>
            <w:tcBorders>
              <w:top w:val="single" w:color="CCCCCC" w:sz="4"/>
              <w:left w:val="single" w:color="CCCCCC" w:sz="4"/>
              <w:bottom w:val="single" w:color="CCCCCC" w:sz="4"/>
              <w:right w:val="single" w:color="CCCCCC" w:sz="4"/>
            </w:tcBorders>
            <w:shd w:fill="F5F7FA" w:val="clear"/>
            <w:tcMar>
              <w:top w:type="dxa" w:w="60"/>
              <w:left w:type="dxa" w:w="60"/>
              <w:bottom w:type="dxa" w:w="60"/>
              <w:right w:type="dxa" w:w="60"/>
            </w:tcMar>
          </w:tcPr>
          <w:p>
            <w:pPr>
              <w:jc w:val="center"/>
            </w:pPr>
            <w:r>
              <w:rPr>
                <w:rFonts w:ascii="Calibri" w:cs="Calibri" w:eastAsia="Calibri" w:hAnsi="Calibri"/>
                <w:b/>
                <w:bCs/>
                <w:color w:val="1F2B45"/>
                <w:sz w:val="17"/>
                <w:szCs w:val="17"/>
              </w:rPr>
              <w:t xml:space="preserve">#7</w:t>
            </w:r>
          </w:p>
        </w:tc>
        <w:tc>
          <w:tcPr>
            <w:tcW w:type="dxa" w:w="2800"/>
            <w:tcBorders>
              <w:top w:val="single" w:color="CCCCCC" w:sz="4"/>
              <w:left w:val="single" w:color="CCCCCC" w:sz="4"/>
              <w:bottom w:val="single" w:color="CCCCCC" w:sz="4"/>
              <w:right w:val="single" w:color="CCCCCC" w:sz="4"/>
            </w:tcBorders>
            <w:shd w:fill="F5F7FA" w:val="clear"/>
            <w:tcMar>
              <w:top w:type="dxa" w:w="60"/>
              <w:left w:type="dxa" w:w="80"/>
              <w:bottom w:type="dxa" w:w="60"/>
              <w:right w:type="dxa" w:w="60"/>
            </w:tcMar>
          </w:tcPr>
          <w:p>
            <w:r>
              <w:rPr>
                <w:rFonts w:ascii="Calibri" w:cs="Calibri" w:eastAsia="Calibri" w:hAnsi="Calibri"/>
                <w:b/>
                <w:bCs/>
                <w:color w:val="1F2B45"/>
                <w:sz w:val="17"/>
                <w:szCs w:val="17"/>
              </w:rPr>
              <w:t xml:space="preserve">DeepSeek V3</w:t>
            </w:r>
          </w:p>
        </w:tc>
        <w:tc>
          <w:tcPr>
            <w:tcW w:type="dxa" w:w="1800"/>
            <w:tcBorders>
              <w:top w:val="single" w:color="CCCCCC" w:sz="4"/>
              <w:left w:val="single" w:color="CCCCCC" w:sz="4"/>
              <w:bottom w:val="single" w:color="CCCCCC" w:sz="4"/>
              <w:right w:val="single" w:color="CCCCCC" w:sz="4"/>
            </w:tcBorders>
            <w:shd w:fill="F5F7FA" w:val="clear"/>
            <w:tcMar>
              <w:top w:type="dxa" w:w="60"/>
              <w:left w:type="dxa" w:w="80"/>
              <w:bottom w:type="dxa" w:w="60"/>
              <w:right w:type="dxa" w:w="60"/>
            </w:tcMar>
          </w:tcPr>
          <w:p>
            <w:r>
              <w:rPr>
                <w:rFonts w:ascii="Calibri" w:cs="Calibri" w:eastAsia="Calibri" w:hAnsi="Calibri"/>
                <w:color w:val="595959"/>
                <w:sz w:val="16"/>
                <w:szCs w:val="16"/>
              </w:rPr>
              <w:t xml:space="preserve">DeepSeek</w:t>
            </w:r>
          </w:p>
        </w:tc>
        <w:tc>
          <w:tcPr>
            <w:tcW w:type="dxa" w:w="900"/>
            <w:tcBorders>
              <w:top w:val="single" w:color="CCCCCC" w:sz="4"/>
              <w:left w:val="single" w:color="CCCCCC" w:sz="4"/>
              <w:bottom w:val="single" w:color="CCCCCC" w:sz="4"/>
              <w:right w:val="single" w:color="CCCCCC" w:sz="4"/>
            </w:tcBorders>
            <w:shd w:fill="F5F7FA"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5</w:t>
            </w:r>
          </w:p>
        </w:tc>
        <w:tc>
          <w:tcPr>
            <w:tcW w:type="dxa" w:w="900"/>
            <w:tcBorders>
              <w:top w:val="single" w:color="CCCCCC" w:sz="4"/>
              <w:left w:val="single" w:color="CCCCCC" w:sz="4"/>
              <w:bottom w:val="single" w:color="CCCCCC" w:sz="4"/>
              <w:right w:val="single" w:color="CCCCCC" w:sz="4"/>
            </w:tcBorders>
            <w:shd w:fill="F5F7FA"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7</w:t>
            </w:r>
          </w:p>
        </w:tc>
        <w:tc>
          <w:tcPr>
            <w:tcW w:type="dxa" w:w="900"/>
            <w:tcBorders>
              <w:top w:val="single" w:color="CCCCCC" w:sz="4"/>
              <w:left w:val="single" w:color="CCCCCC" w:sz="4"/>
              <w:bottom w:val="single" w:color="CCCCCC" w:sz="4"/>
              <w:right w:val="single" w:color="CCCCCC" w:sz="4"/>
            </w:tcBorders>
            <w:shd w:fill="F5F7FA"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5</w:t>
            </w:r>
          </w:p>
        </w:tc>
        <w:tc>
          <w:tcPr>
            <w:tcW w:type="dxa" w:w="900"/>
            <w:tcBorders>
              <w:top w:val="single" w:color="CCCCCC" w:sz="4"/>
              <w:left w:val="single" w:color="CCCCCC" w:sz="4"/>
              <w:bottom w:val="single" w:color="CCCCCC" w:sz="4"/>
              <w:right w:val="single" w:color="CCCCCC" w:sz="4"/>
            </w:tcBorders>
            <w:shd w:fill="F5F7FA"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5</w:t>
            </w:r>
          </w:p>
        </w:tc>
        <w:tc>
          <w:tcPr>
            <w:tcW w:type="dxa" w:w="700"/>
            <w:tcBorders>
              <w:top w:val="single" w:color="CCCCCC" w:sz="4"/>
              <w:left w:val="single" w:color="CCCCCC" w:sz="4"/>
              <w:bottom w:val="single" w:color="CCCCCC" w:sz="4"/>
              <w:right w:val="single" w:color="CCCCCC" w:sz="4"/>
            </w:tcBorders>
            <w:shd w:fill="F5F7FA"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10</w:t>
            </w:r>
          </w:p>
        </w:tc>
        <w:tc>
          <w:tcPr>
            <w:tcW w:type="dxa" w:w="960"/>
            <w:tcBorders>
              <w:top w:val="single" w:color="CCCCCC" w:sz="4"/>
              <w:left w:val="single" w:color="CCCCCC" w:sz="4"/>
              <w:bottom w:val="single" w:color="CCCCCC" w:sz="4"/>
              <w:right w:val="single" w:color="CCCCCC" w:sz="4"/>
            </w:tcBorders>
            <w:shd w:fill="F5F7FA"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6</w:t>
            </w:r>
          </w:p>
        </w:tc>
      </w:tr>
      <w:tr>
        <w:tc>
          <w:tcPr>
            <w:tcW w:type="dxa" w:w="500"/>
            <w:tcBorders>
              <w:top w:val="single" w:color="CCCCCC" w:sz="4"/>
              <w:left w:val="single" w:color="CCCCCC" w:sz="4"/>
              <w:bottom w:val="single" w:color="CCCCCC" w:sz="4"/>
              <w:right w:val="single" w:color="CCCCCC" w:sz="4"/>
            </w:tcBorders>
            <w:shd w:fill="FFFFFF" w:val="clear"/>
            <w:tcMar>
              <w:top w:type="dxa" w:w="60"/>
              <w:left w:type="dxa" w:w="60"/>
              <w:bottom w:type="dxa" w:w="60"/>
              <w:right w:type="dxa" w:w="60"/>
            </w:tcMar>
          </w:tcPr>
          <w:p>
            <w:pPr>
              <w:jc w:val="center"/>
            </w:pPr>
            <w:r>
              <w:rPr>
                <w:rFonts w:ascii="Calibri" w:cs="Calibri" w:eastAsia="Calibri" w:hAnsi="Calibri"/>
                <w:b/>
                <w:bCs/>
                <w:color w:val="1F2B45"/>
                <w:sz w:val="17"/>
                <w:szCs w:val="17"/>
              </w:rPr>
              <w:t xml:space="preserve">#8</w:t>
            </w:r>
          </w:p>
        </w:tc>
        <w:tc>
          <w:tcPr>
            <w:tcW w:type="dxa" w:w="2800"/>
            <w:tcBorders>
              <w:top w:val="single" w:color="CCCCCC" w:sz="4"/>
              <w:left w:val="single" w:color="CCCCCC" w:sz="4"/>
              <w:bottom w:val="single" w:color="CCCCCC" w:sz="4"/>
              <w:right w:val="single" w:color="CCCCCC" w:sz="4"/>
            </w:tcBorders>
            <w:shd w:fill="FFFFFF" w:val="clear"/>
            <w:tcMar>
              <w:top w:type="dxa" w:w="60"/>
              <w:left w:type="dxa" w:w="80"/>
              <w:bottom w:type="dxa" w:w="60"/>
              <w:right w:type="dxa" w:w="60"/>
            </w:tcMar>
          </w:tcPr>
          <w:p>
            <w:r>
              <w:rPr>
                <w:rFonts w:ascii="Calibri" w:cs="Calibri" w:eastAsia="Calibri" w:hAnsi="Calibri"/>
                <w:b/>
                <w:bCs/>
                <w:color w:val="1F2B45"/>
                <w:sz w:val="17"/>
                <w:szCs w:val="17"/>
              </w:rPr>
              <w:t xml:space="preserve">Qwen3 Max</w:t>
            </w:r>
          </w:p>
        </w:tc>
        <w:tc>
          <w:tcPr>
            <w:tcW w:type="dxa" w:w="1800"/>
            <w:tcBorders>
              <w:top w:val="single" w:color="CCCCCC" w:sz="4"/>
              <w:left w:val="single" w:color="CCCCCC" w:sz="4"/>
              <w:bottom w:val="single" w:color="CCCCCC" w:sz="4"/>
              <w:right w:val="single" w:color="CCCCCC" w:sz="4"/>
            </w:tcBorders>
            <w:shd w:fill="FFFFFF" w:val="clear"/>
            <w:tcMar>
              <w:top w:type="dxa" w:w="60"/>
              <w:left w:type="dxa" w:w="80"/>
              <w:bottom w:type="dxa" w:w="60"/>
              <w:right w:type="dxa" w:w="60"/>
            </w:tcMar>
          </w:tcPr>
          <w:p>
            <w:r>
              <w:rPr>
                <w:rFonts w:ascii="Calibri" w:cs="Calibri" w:eastAsia="Calibri" w:hAnsi="Calibri"/>
                <w:color w:val="595959"/>
                <w:sz w:val="16"/>
                <w:szCs w:val="16"/>
              </w:rPr>
              <w:t xml:space="preserve">Alibaba</w:t>
            </w:r>
          </w:p>
        </w:tc>
        <w:tc>
          <w:tcPr>
            <w:tcW w:type="dxa" w:w="900"/>
            <w:tcBorders>
              <w:top w:val="single" w:color="CCCCCC" w:sz="4"/>
              <w:left w:val="single" w:color="CCCCCC" w:sz="4"/>
              <w:bottom w:val="single" w:color="CCCCCC" w:sz="4"/>
              <w:right w:val="single" w:color="CCCCCC" w:sz="4"/>
            </w:tcBorders>
            <w:shd w:fill="FFFFFF"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4</w:t>
            </w:r>
          </w:p>
        </w:tc>
        <w:tc>
          <w:tcPr>
            <w:tcW w:type="dxa" w:w="900"/>
            <w:tcBorders>
              <w:top w:val="single" w:color="CCCCCC" w:sz="4"/>
              <w:left w:val="single" w:color="CCCCCC" w:sz="4"/>
              <w:bottom w:val="single" w:color="CCCCCC" w:sz="4"/>
              <w:right w:val="single" w:color="CCCCCC" w:sz="4"/>
            </w:tcBorders>
            <w:shd w:fill="FFFFFF"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7</w:t>
            </w:r>
          </w:p>
        </w:tc>
        <w:tc>
          <w:tcPr>
            <w:tcW w:type="dxa" w:w="900"/>
            <w:tcBorders>
              <w:top w:val="single" w:color="CCCCCC" w:sz="4"/>
              <w:left w:val="single" w:color="CCCCCC" w:sz="4"/>
              <w:bottom w:val="single" w:color="CCCCCC" w:sz="4"/>
              <w:right w:val="single" w:color="CCCCCC" w:sz="4"/>
            </w:tcBorders>
            <w:shd w:fill="FFFFFF"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5</w:t>
            </w:r>
          </w:p>
        </w:tc>
        <w:tc>
          <w:tcPr>
            <w:tcW w:type="dxa" w:w="900"/>
            <w:tcBorders>
              <w:top w:val="single" w:color="CCCCCC" w:sz="4"/>
              <w:left w:val="single" w:color="CCCCCC" w:sz="4"/>
              <w:bottom w:val="single" w:color="CCCCCC" w:sz="4"/>
              <w:right w:val="single" w:color="CCCCCC" w:sz="4"/>
            </w:tcBorders>
            <w:shd w:fill="FFFFFF"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5</w:t>
            </w:r>
          </w:p>
        </w:tc>
        <w:tc>
          <w:tcPr>
            <w:tcW w:type="dxa" w:w="700"/>
            <w:tcBorders>
              <w:top w:val="single" w:color="CCCCCC" w:sz="4"/>
              <w:left w:val="single" w:color="CCCCCC" w:sz="4"/>
              <w:bottom w:val="single" w:color="CCCCCC" w:sz="4"/>
              <w:right w:val="single" w:color="CCCCCC" w:sz="4"/>
            </w:tcBorders>
            <w:shd w:fill="FFFFFF"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9</w:t>
            </w:r>
          </w:p>
        </w:tc>
        <w:tc>
          <w:tcPr>
            <w:tcW w:type="dxa" w:w="960"/>
            <w:tcBorders>
              <w:top w:val="single" w:color="CCCCCC" w:sz="4"/>
              <w:left w:val="single" w:color="CCCCCC" w:sz="4"/>
              <w:bottom w:val="single" w:color="CCCCCC" w:sz="4"/>
              <w:right w:val="single" w:color="CCCCCC" w:sz="4"/>
            </w:tcBorders>
            <w:shd w:fill="FFFFFF"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6</w:t>
            </w:r>
          </w:p>
        </w:tc>
      </w:tr>
      <w:tr>
        <w:tc>
          <w:tcPr>
            <w:tcW w:type="dxa" w:w="500"/>
            <w:tcBorders>
              <w:top w:val="single" w:color="CCCCCC" w:sz="4"/>
              <w:left w:val="single" w:color="CCCCCC" w:sz="4"/>
              <w:bottom w:val="single" w:color="CCCCCC" w:sz="4"/>
              <w:right w:val="single" w:color="CCCCCC" w:sz="4"/>
            </w:tcBorders>
            <w:shd w:fill="F5F7FA" w:val="clear"/>
            <w:tcMar>
              <w:top w:type="dxa" w:w="60"/>
              <w:left w:type="dxa" w:w="60"/>
              <w:bottom w:type="dxa" w:w="60"/>
              <w:right w:type="dxa" w:w="60"/>
            </w:tcMar>
          </w:tcPr>
          <w:p>
            <w:pPr>
              <w:jc w:val="center"/>
            </w:pPr>
            <w:r>
              <w:rPr>
                <w:rFonts w:ascii="Calibri" w:cs="Calibri" w:eastAsia="Calibri" w:hAnsi="Calibri"/>
                <w:b/>
                <w:bCs/>
                <w:color w:val="1F2B45"/>
                <w:sz w:val="17"/>
                <w:szCs w:val="17"/>
              </w:rPr>
              <w:t xml:space="preserve">#9</w:t>
            </w:r>
          </w:p>
        </w:tc>
        <w:tc>
          <w:tcPr>
            <w:tcW w:type="dxa" w:w="2800"/>
            <w:tcBorders>
              <w:top w:val="single" w:color="CCCCCC" w:sz="4"/>
              <w:left w:val="single" w:color="CCCCCC" w:sz="4"/>
              <w:bottom w:val="single" w:color="CCCCCC" w:sz="4"/>
              <w:right w:val="single" w:color="CCCCCC" w:sz="4"/>
            </w:tcBorders>
            <w:shd w:fill="F5F7FA" w:val="clear"/>
            <w:tcMar>
              <w:top w:type="dxa" w:w="60"/>
              <w:left w:type="dxa" w:w="80"/>
              <w:bottom w:type="dxa" w:w="60"/>
              <w:right w:type="dxa" w:w="60"/>
            </w:tcMar>
          </w:tcPr>
          <w:p>
            <w:r>
              <w:rPr>
                <w:rFonts w:ascii="Calibri" w:cs="Calibri" w:eastAsia="Calibri" w:hAnsi="Calibri"/>
                <w:b/>
                <w:bCs/>
                <w:color w:val="1F2B45"/>
                <w:sz w:val="17"/>
                <w:szCs w:val="17"/>
              </w:rPr>
              <w:t xml:space="preserve">Mistral Large 3</w:t>
            </w:r>
          </w:p>
        </w:tc>
        <w:tc>
          <w:tcPr>
            <w:tcW w:type="dxa" w:w="1800"/>
            <w:tcBorders>
              <w:top w:val="single" w:color="CCCCCC" w:sz="4"/>
              <w:left w:val="single" w:color="CCCCCC" w:sz="4"/>
              <w:bottom w:val="single" w:color="CCCCCC" w:sz="4"/>
              <w:right w:val="single" w:color="CCCCCC" w:sz="4"/>
            </w:tcBorders>
            <w:shd w:fill="F5F7FA" w:val="clear"/>
            <w:tcMar>
              <w:top w:type="dxa" w:w="60"/>
              <w:left w:type="dxa" w:w="80"/>
              <w:bottom w:type="dxa" w:w="60"/>
              <w:right w:type="dxa" w:w="60"/>
            </w:tcMar>
          </w:tcPr>
          <w:p>
            <w:r>
              <w:rPr>
                <w:rFonts w:ascii="Calibri" w:cs="Calibri" w:eastAsia="Calibri" w:hAnsi="Calibri"/>
                <w:color w:val="595959"/>
                <w:sz w:val="16"/>
                <w:szCs w:val="16"/>
              </w:rPr>
              <w:t xml:space="preserve">Mistral AI</w:t>
            </w:r>
          </w:p>
        </w:tc>
        <w:tc>
          <w:tcPr>
            <w:tcW w:type="dxa" w:w="900"/>
            <w:tcBorders>
              <w:top w:val="single" w:color="CCCCCC" w:sz="4"/>
              <w:left w:val="single" w:color="CCCCCC" w:sz="4"/>
              <w:bottom w:val="single" w:color="CCCCCC" w:sz="4"/>
              <w:right w:val="single" w:color="CCCCCC" w:sz="4"/>
            </w:tcBorders>
            <w:shd w:fill="F5F7FA"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4</w:t>
            </w:r>
          </w:p>
        </w:tc>
        <w:tc>
          <w:tcPr>
            <w:tcW w:type="dxa" w:w="900"/>
            <w:tcBorders>
              <w:top w:val="single" w:color="CCCCCC" w:sz="4"/>
              <w:left w:val="single" w:color="CCCCCC" w:sz="4"/>
              <w:bottom w:val="single" w:color="CCCCCC" w:sz="4"/>
              <w:right w:val="single" w:color="CCCCCC" w:sz="4"/>
            </w:tcBorders>
            <w:shd w:fill="F5F7FA"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6</w:t>
            </w:r>
          </w:p>
        </w:tc>
        <w:tc>
          <w:tcPr>
            <w:tcW w:type="dxa" w:w="900"/>
            <w:tcBorders>
              <w:top w:val="single" w:color="CCCCCC" w:sz="4"/>
              <w:left w:val="single" w:color="CCCCCC" w:sz="4"/>
              <w:bottom w:val="single" w:color="CCCCCC" w:sz="4"/>
              <w:right w:val="single" w:color="CCCCCC" w:sz="4"/>
            </w:tcBorders>
            <w:shd w:fill="F5F7FA"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4</w:t>
            </w:r>
          </w:p>
        </w:tc>
        <w:tc>
          <w:tcPr>
            <w:tcW w:type="dxa" w:w="900"/>
            <w:tcBorders>
              <w:top w:val="single" w:color="CCCCCC" w:sz="4"/>
              <w:left w:val="single" w:color="CCCCCC" w:sz="4"/>
              <w:bottom w:val="single" w:color="CCCCCC" w:sz="4"/>
              <w:right w:val="single" w:color="CCCCCC" w:sz="4"/>
            </w:tcBorders>
            <w:shd w:fill="F5F7FA"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5</w:t>
            </w:r>
          </w:p>
        </w:tc>
        <w:tc>
          <w:tcPr>
            <w:tcW w:type="dxa" w:w="700"/>
            <w:tcBorders>
              <w:top w:val="single" w:color="CCCCCC" w:sz="4"/>
              <w:left w:val="single" w:color="CCCCCC" w:sz="4"/>
              <w:bottom w:val="single" w:color="CCCCCC" w:sz="4"/>
              <w:right w:val="single" w:color="CCCCCC" w:sz="4"/>
            </w:tcBorders>
            <w:shd w:fill="F5F7FA"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7</w:t>
            </w:r>
          </w:p>
        </w:tc>
        <w:tc>
          <w:tcPr>
            <w:tcW w:type="dxa" w:w="960"/>
            <w:tcBorders>
              <w:top w:val="single" w:color="CCCCCC" w:sz="4"/>
              <w:left w:val="single" w:color="CCCCCC" w:sz="4"/>
              <w:bottom w:val="single" w:color="CCCCCC" w:sz="4"/>
              <w:right w:val="single" w:color="CCCCCC" w:sz="4"/>
            </w:tcBorders>
            <w:shd w:fill="F5F7FA"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8</w:t>
            </w:r>
          </w:p>
        </w:tc>
      </w:tr>
      <w:tr>
        <w:tc>
          <w:tcPr>
            <w:tcW w:type="dxa" w:w="500"/>
            <w:tcBorders>
              <w:top w:val="single" w:color="CCCCCC" w:sz="4"/>
              <w:left w:val="single" w:color="CCCCCC" w:sz="4"/>
              <w:bottom w:val="single" w:color="CCCCCC" w:sz="4"/>
              <w:right w:val="single" w:color="CCCCCC" w:sz="4"/>
            </w:tcBorders>
            <w:shd w:fill="FFFFFF" w:val="clear"/>
            <w:tcMar>
              <w:top w:type="dxa" w:w="60"/>
              <w:left w:type="dxa" w:w="60"/>
              <w:bottom w:type="dxa" w:w="60"/>
              <w:right w:type="dxa" w:w="60"/>
            </w:tcMar>
          </w:tcPr>
          <w:p>
            <w:pPr>
              <w:jc w:val="center"/>
            </w:pPr>
            <w:r>
              <w:rPr>
                <w:rFonts w:ascii="Calibri" w:cs="Calibri" w:eastAsia="Calibri" w:hAnsi="Calibri"/>
                <w:b/>
                <w:bCs/>
                <w:color w:val="1F2B45"/>
                <w:sz w:val="17"/>
                <w:szCs w:val="17"/>
              </w:rPr>
              <w:t xml:space="preserve">#10</w:t>
            </w:r>
          </w:p>
        </w:tc>
        <w:tc>
          <w:tcPr>
            <w:tcW w:type="dxa" w:w="2800"/>
            <w:tcBorders>
              <w:top w:val="single" w:color="CCCCCC" w:sz="4"/>
              <w:left w:val="single" w:color="CCCCCC" w:sz="4"/>
              <w:bottom w:val="single" w:color="CCCCCC" w:sz="4"/>
              <w:right w:val="single" w:color="CCCCCC" w:sz="4"/>
            </w:tcBorders>
            <w:shd w:fill="FFFFFF" w:val="clear"/>
            <w:tcMar>
              <w:top w:type="dxa" w:w="60"/>
              <w:left w:type="dxa" w:w="80"/>
              <w:bottom w:type="dxa" w:w="60"/>
              <w:right w:type="dxa" w:w="60"/>
            </w:tcMar>
          </w:tcPr>
          <w:p>
            <w:r>
              <w:rPr>
                <w:rFonts w:ascii="Calibri" w:cs="Calibri" w:eastAsia="Calibri" w:hAnsi="Calibri"/>
                <w:b/>
                <w:bCs/>
                <w:color w:val="1F2B45"/>
                <w:sz w:val="17"/>
                <w:szCs w:val="17"/>
              </w:rPr>
              <w:t xml:space="preserve">Perplexity (Sonar)</w:t>
            </w:r>
          </w:p>
        </w:tc>
        <w:tc>
          <w:tcPr>
            <w:tcW w:type="dxa" w:w="1800"/>
            <w:tcBorders>
              <w:top w:val="single" w:color="CCCCCC" w:sz="4"/>
              <w:left w:val="single" w:color="CCCCCC" w:sz="4"/>
              <w:bottom w:val="single" w:color="CCCCCC" w:sz="4"/>
              <w:right w:val="single" w:color="CCCCCC" w:sz="4"/>
            </w:tcBorders>
            <w:shd w:fill="FFFFFF" w:val="clear"/>
            <w:tcMar>
              <w:top w:type="dxa" w:w="60"/>
              <w:left w:type="dxa" w:w="80"/>
              <w:bottom w:type="dxa" w:w="60"/>
              <w:right w:type="dxa" w:w="60"/>
            </w:tcMar>
          </w:tcPr>
          <w:p>
            <w:r>
              <w:rPr>
                <w:rFonts w:ascii="Calibri" w:cs="Calibri" w:eastAsia="Calibri" w:hAnsi="Calibri"/>
                <w:color w:val="595959"/>
                <w:sz w:val="16"/>
                <w:szCs w:val="16"/>
              </w:rPr>
              <w:t xml:space="preserve">Perplexity AI</w:t>
            </w:r>
          </w:p>
        </w:tc>
        <w:tc>
          <w:tcPr>
            <w:tcW w:type="dxa" w:w="900"/>
            <w:tcBorders>
              <w:top w:val="single" w:color="CCCCCC" w:sz="4"/>
              <w:left w:val="single" w:color="CCCCCC" w:sz="4"/>
              <w:bottom w:val="single" w:color="CCCCCC" w:sz="4"/>
              <w:right w:val="single" w:color="CCCCCC" w:sz="4"/>
            </w:tcBorders>
            <w:shd w:fill="FFFFFF"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3</w:t>
            </w:r>
          </w:p>
        </w:tc>
        <w:tc>
          <w:tcPr>
            <w:tcW w:type="dxa" w:w="900"/>
            <w:tcBorders>
              <w:top w:val="single" w:color="CCCCCC" w:sz="4"/>
              <w:left w:val="single" w:color="CCCCCC" w:sz="4"/>
              <w:bottom w:val="single" w:color="CCCCCC" w:sz="4"/>
              <w:right w:val="single" w:color="CCCCCC" w:sz="4"/>
            </w:tcBorders>
            <w:shd w:fill="FFFFFF"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5</w:t>
            </w:r>
          </w:p>
        </w:tc>
        <w:tc>
          <w:tcPr>
            <w:tcW w:type="dxa" w:w="900"/>
            <w:tcBorders>
              <w:top w:val="single" w:color="CCCCCC" w:sz="4"/>
              <w:left w:val="single" w:color="CCCCCC" w:sz="4"/>
              <w:bottom w:val="single" w:color="CCCCCC" w:sz="4"/>
              <w:right w:val="single" w:color="CCCCCC" w:sz="4"/>
            </w:tcBorders>
            <w:shd w:fill="FFFFFF"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4</w:t>
            </w:r>
          </w:p>
        </w:tc>
        <w:tc>
          <w:tcPr>
            <w:tcW w:type="dxa" w:w="900"/>
            <w:tcBorders>
              <w:top w:val="single" w:color="CCCCCC" w:sz="4"/>
              <w:left w:val="single" w:color="CCCCCC" w:sz="4"/>
              <w:bottom w:val="single" w:color="CCCCCC" w:sz="4"/>
              <w:right w:val="single" w:color="CCCCCC" w:sz="4"/>
            </w:tcBorders>
            <w:shd w:fill="FFFFFF"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4</w:t>
            </w:r>
          </w:p>
        </w:tc>
        <w:tc>
          <w:tcPr>
            <w:tcW w:type="dxa" w:w="700"/>
            <w:tcBorders>
              <w:top w:val="single" w:color="CCCCCC" w:sz="4"/>
              <w:left w:val="single" w:color="CCCCCC" w:sz="4"/>
              <w:bottom w:val="single" w:color="CCCCCC" w:sz="4"/>
              <w:right w:val="single" w:color="CCCCCC" w:sz="4"/>
            </w:tcBorders>
            <w:shd w:fill="FFFFFF"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6</w:t>
            </w:r>
          </w:p>
        </w:tc>
        <w:tc>
          <w:tcPr>
            <w:tcW w:type="dxa" w:w="960"/>
            <w:tcBorders>
              <w:top w:val="single" w:color="CCCCCC" w:sz="4"/>
              <w:left w:val="single" w:color="CCCCCC" w:sz="4"/>
              <w:bottom w:val="single" w:color="CCCCCC" w:sz="4"/>
              <w:right w:val="single" w:color="CCCCCC" w:sz="4"/>
            </w:tcBorders>
            <w:shd w:fill="FFFFFF" w:val="clear"/>
            <w:tcMar>
              <w:top w:type="dxa" w:w="60"/>
              <w:left w:type="dxa" w:w="40"/>
              <w:bottom w:type="dxa" w:w="60"/>
              <w:right w:type="dxa" w:w="40"/>
            </w:tcMar>
          </w:tcPr>
          <w:p>
            <w:pPr>
              <w:jc w:val="center"/>
            </w:pPr>
            <w:r>
              <w:rPr>
                <w:rFonts w:ascii="Calibri" w:cs="Calibri" w:eastAsia="Calibri" w:hAnsi="Calibri"/>
                <w:b w:val="false"/>
                <w:bCs w:val="false"/>
                <w:color w:val="333333"/>
                <w:sz w:val="17"/>
                <w:szCs w:val="17"/>
              </w:rPr>
              <w:t xml:space="preserve">7</w:t>
            </w:r>
          </w:p>
        </w:tc>
      </w:tr>
    </w:tbl>
    <w:p>
      <w:pPr>
        <w:spacing w:after="160"/>
      </w:pPr>
      <w:r>
        <w:t xml:space="preserve"/>
      </w:r>
    </w:p>
    <w:p>
      <w:pPr>
        <w:spacing w:after="80"/>
      </w:pPr>
      <w:r>
        <w:rPr>
          <w:rFonts w:ascii="Calibri" w:cs="Calibri" w:eastAsia="Calibri" w:hAnsi="Calibri"/>
          <w:b w:val="false"/>
          <w:bCs w:val="false"/>
          <w:i/>
          <w:iCs/>
          <w:color w:val="595959"/>
          <w:sz w:val="20"/>
          <w:szCs w:val="20"/>
        </w:rPr>
        <w:t xml:space="preserve">Scored by Claude Sonnet 4.6 (Anthropic). Model knowledge current to March 18, 2026. Benchmark data sourced from SWE-bench, Artificial Analysis Intelligence Index, Recon Analytics, Microsoft financial disclosures, and public analyst reports. Scores reflect the facilitator's expert synthesis — not a simple average of individual data points. Rankings should be reviewed quarterly given the pace of model releases.</w:t>
      </w:r>
    </w:p>
    <w:p>
      <w:pPr>
        <w:spacing w:after="200"/>
      </w:pPr>
      <w:r>
        <w:t xml:space="preserve"/>
      </w:r>
    </w:p>
    <w:p>
      <w:pPr>
        <w:pageBreakBefore/>
      </w:pPr>
      <w:r>
        <w:rPr>
          <w:sz w:val="20"/>
          <w:szCs w:val="20"/>
        </w:rPr>
        <w:t xml:space="preserve"/>
      </w:r>
    </w:p>
    <w:p>
      <w:pPr>
        <w:pStyle w:val="Heading1"/>
        <w:spacing w:before="320" w:after="120"/>
      </w:pPr>
      <w:r>
        <w:rPr>
          <w:rFonts w:ascii="Calibri" w:cs="Calibri" w:eastAsia="Calibri" w:hAnsi="Calibri"/>
          <w:b/>
          <w:bCs/>
          <w:color w:val="1F2B45"/>
          <w:sz w:val="36"/>
          <w:szCs w:val="36"/>
        </w:rPr>
        <w:t xml:space="preserve">1. GPT-5.4</w:t>
      </w:r>
    </w:p>
    <w:p>
      <w:pPr>
        <w:spacing w:after="80"/>
      </w:pPr>
      <w:r>
        <w:rPr>
          <w:rFonts w:ascii="Calibri" w:cs="Calibri" w:eastAsia="Calibri" w:hAnsi="Calibri"/>
          <w:b/>
          <w:bCs/>
          <w:color w:val="C9A84C"/>
          <w:sz w:val="22"/>
          <w:szCs w:val="22"/>
        </w:rPr>
        <w:t xml:space="preserve">OpenAI</w:t>
      </w:r>
    </w:p>
    <w:p>
      <w:pPr>
        <w:spacing w:after="160"/>
      </w:pPr>
      <w:r>
        <w:rPr>
          <w:rFonts w:ascii="Calibri" w:cs="Calibri" w:eastAsia="Calibri" w:hAnsi="Calibri"/>
          <w:i/>
          <w:iCs/>
          <w:color w:val="595959"/>
          <w:sz w:val="18"/>
          <w:szCs w:val="18"/>
        </w:rPr>
        <w:t xml:space="preserve">Composite Score: 8.50 / 10  |  Rank: #1 of 10</w:t>
      </w:r>
    </w:p>
    <w:p>
      <w:pPr>
        <w:pBdr>
          <w:bottom w:val="single" w:color="C9A84C" w:sz="8"/>
        </w:pBd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A5D6A7" w:sz="4"/>
              <w:left w:val="single" w:color="A5D6A7" w:sz="4"/>
              <w:bottom w:val="single" w:color="A5D6A7" w:sz="4"/>
              <w:right w:val="single" w:color="A5D6A7" w:sz="4"/>
            </w:tcBorders>
            <w:shd w:fill="E8F5E9" w:val="clear"/>
            <w:tcMar>
              <w:top w:type="dxa" w:w="100"/>
              <w:left w:type="dxa" w:w="140"/>
              <w:bottom w:type="dxa" w:w="100"/>
              <w:right w:type="dxa" w:w="140"/>
            </w:tcMar>
          </w:tcPr>
          <w:p>
            <w:pPr>
              <w:spacing w:after="80"/>
            </w:pPr>
            <w:r>
              <w:rPr>
                <w:rFonts w:ascii="Calibri" w:cs="Calibri" w:eastAsia="Calibri" w:hAnsi="Calibri"/>
                <w:b/>
                <w:bCs/>
                <w:caps/>
                <w:color w:val="1B5E20"/>
                <w:sz w:val="18"/>
                <w:szCs w:val="18"/>
              </w:rPr>
              <w:t xml:space="preserve">Strengths</w:t>
            </w:r>
          </w:p>
          <w:p>
            <w:pPr>
              <w:pStyle w:val="ListParagraph"/>
              <w:numPr>
                <w:ilvl w:val="0"/>
                <w:numId w:val="1"/>
              </w:numPr>
              <w:spacing w:after="60"/>
            </w:pPr>
            <w:r>
              <w:rPr>
                <w:rFonts w:ascii="Calibri" w:cs="Calibri" w:eastAsia="Calibri" w:hAnsi="Calibri"/>
                <w:color w:val="333333"/>
                <w:sz w:val="17"/>
                <w:szCs w:val="17"/>
              </w:rPr>
              <w:t xml:space="preserve">Largest developer ecosystem and global brand recognition</w:t>
            </w:r>
          </w:p>
          <w:p>
            <w:pPr>
              <w:pStyle w:val="ListParagraph"/>
              <w:numPr>
                <w:ilvl w:val="0"/>
                <w:numId w:val="1"/>
              </w:numPr>
              <w:spacing w:after="60"/>
            </w:pPr>
            <w:r>
              <w:rPr>
                <w:rFonts w:ascii="Calibri" w:cs="Calibri" w:eastAsia="Calibri" w:hAnsi="Calibri"/>
                <w:color w:val="333333"/>
                <w:sz w:val="17"/>
                <w:szCs w:val="17"/>
              </w:rPr>
              <w:t xml:space="preserve">Top-tier STEM and frontier reasoning benchmark performance</w:t>
            </w:r>
          </w:p>
          <w:p>
            <w:pPr>
              <w:pStyle w:val="ListParagraph"/>
              <w:numPr>
                <w:ilvl w:val="0"/>
                <w:numId w:val="1"/>
              </w:numPr>
              <w:spacing w:after="60"/>
            </w:pPr>
            <w:r>
              <w:rPr>
                <w:rFonts w:ascii="Calibri" w:cs="Calibri" w:eastAsia="Calibri" w:hAnsi="Calibri"/>
                <w:color w:val="333333"/>
                <w:sz w:val="17"/>
                <w:szCs w:val="17"/>
              </w:rPr>
              <w:t xml:space="preserve">Versatile across writing, coding, research, and multimodal tasks</w:t>
            </w:r>
          </w:p>
          <w:p>
            <w:pPr>
              <w:pStyle w:val="ListParagraph"/>
              <w:numPr>
                <w:ilvl w:val="0"/>
                <w:numId w:val="1"/>
              </w:numPr>
              <w:spacing w:after="60"/>
            </w:pPr>
            <w:r>
              <w:rPr>
                <w:rFonts w:ascii="Calibri" w:cs="Calibri" w:eastAsia="Calibri" w:hAnsi="Calibri"/>
                <w:color w:val="333333"/>
                <w:sz w:val="17"/>
                <w:szCs w:val="17"/>
              </w:rPr>
              <w:t xml:space="preserve">ChatGPT brand drives 55.2% of paid AI subscriber share</w:t>
            </w:r>
          </w:p>
        </w:tc>
        <w:tc>
          <w:tcPr>
            <w:tcW w:type="dxa" w:w="4680"/>
            <w:tcBorders>
              <w:top w:val="single" w:color="EF9A9A" w:sz="4"/>
              <w:left w:val="single" w:color="EF9A9A" w:sz="4"/>
              <w:bottom w:val="single" w:color="EF9A9A" w:sz="4"/>
              <w:right w:val="single" w:color="EF9A9A" w:sz="4"/>
            </w:tcBorders>
            <w:shd w:fill="FFEBEE" w:val="clear"/>
            <w:tcMar>
              <w:top w:type="dxa" w:w="100"/>
              <w:left w:type="dxa" w:w="140"/>
              <w:bottom w:type="dxa" w:w="100"/>
              <w:right w:type="dxa" w:w="140"/>
            </w:tcMar>
          </w:tcPr>
          <w:p>
            <w:pPr>
              <w:spacing w:after="80"/>
            </w:pPr>
            <w:r>
              <w:rPr>
                <w:rFonts w:ascii="Calibri" w:cs="Calibri" w:eastAsia="Calibri" w:hAnsi="Calibri"/>
                <w:b/>
                <w:bCs/>
                <w:caps/>
                <w:color w:val="B71C1C"/>
                <w:sz w:val="18"/>
                <w:szCs w:val="18"/>
              </w:rPr>
              <w:t xml:space="preserve">Weaknesses</w:t>
            </w:r>
          </w:p>
          <w:p>
            <w:pPr>
              <w:pStyle w:val="ListParagraph"/>
              <w:numPr>
                <w:ilvl w:val="0"/>
                <w:numId w:val="1"/>
              </w:numPr>
              <w:spacing w:after="60"/>
            </w:pPr>
            <w:r>
              <w:rPr>
                <w:rFonts w:ascii="Calibri" w:cs="Calibri" w:eastAsia="Calibri" w:hAnsi="Calibri"/>
                <w:color w:val="333333"/>
                <w:sz w:val="17"/>
                <w:szCs w:val="17"/>
              </w:rPr>
              <w:t xml:space="preserve">High inference cost at top capability tiers</w:t>
            </w:r>
          </w:p>
          <w:p>
            <w:pPr>
              <w:pStyle w:val="ListParagraph"/>
              <w:numPr>
                <w:ilvl w:val="0"/>
                <w:numId w:val="1"/>
              </w:numPr>
              <w:spacing w:after="60"/>
            </w:pPr>
            <w:r>
              <w:rPr>
                <w:rFonts w:ascii="Calibri" w:cs="Calibri" w:eastAsia="Calibri" w:hAnsi="Calibri"/>
                <w:color w:val="333333"/>
                <w:sz w:val="17"/>
                <w:szCs w:val="17"/>
              </w:rPr>
              <w:t xml:space="preserve">Internal routing complexity can produce unpredictable outputs</w:t>
            </w:r>
          </w:p>
          <w:p>
            <w:pPr>
              <w:pStyle w:val="ListParagraph"/>
              <w:numPr>
                <w:ilvl w:val="0"/>
                <w:numId w:val="1"/>
              </w:numPr>
              <w:spacing w:after="60"/>
            </w:pPr>
            <w:r>
              <w:rPr>
                <w:rFonts w:ascii="Calibri" w:cs="Calibri" w:eastAsia="Calibri" w:hAnsi="Calibri"/>
                <w:color w:val="333333"/>
                <w:sz w:val="17"/>
                <w:szCs w:val="17"/>
              </w:rPr>
              <w:t xml:space="preserve">UI/front-end code generation weaker than Claude Opus</w:t>
            </w:r>
          </w:p>
        </w:tc>
      </w:tr>
      <w:tr>
        <w:tc>
          <w:tcPr>
            <w:tcW w:type="dxa" w:w="4680"/>
            <w:tcBorders>
              <w:top w:val="single" w:color="90CAF9" w:sz="4"/>
              <w:left w:val="single" w:color="90CAF9" w:sz="4"/>
              <w:bottom w:val="single" w:color="90CAF9" w:sz="4"/>
              <w:right w:val="single" w:color="90CAF9" w:sz="4"/>
            </w:tcBorders>
            <w:shd w:fill="E3F2FD" w:val="clear"/>
            <w:tcMar>
              <w:top w:type="dxa" w:w="100"/>
              <w:left w:type="dxa" w:w="140"/>
              <w:bottom w:type="dxa" w:w="100"/>
              <w:right w:type="dxa" w:w="140"/>
            </w:tcMar>
          </w:tcPr>
          <w:p>
            <w:pPr>
              <w:spacing w:after="80"/>
            </w:pPr>
            <w:r>
              <w:rPr>
                <w:rFonts w:ascii="Calibri" w:cs="Calibri" w:eastAsia="Calibri" w:hAnsi="Calibri"/>
                <w:b/>
                <w:bCs/>
                <w:caps/>
                <w:color w:val="0D47A1"/>
                <w:sz w:val="18"/>
                <w:szCs w:val="18"/>
              </w:rPr>
              <w:t xml:space="preserve">Opportunities</w:t>
            </w:r>
          </w:p>
          <w:p>
            <w:pPr>
              <w:pStyle w:val="ListParagraph"/>
              <w:numPr>
                <w:ilvl w:val="0"/>
                <w:numId w:val="1"/>
              </w:numPr>
              <w:spacing w:after="60"/>
            </w:pPr>
            <w:r>
              <w:rPr>
                <w:rFonts w:ascii="Calibri" w:cs="Calibri" w:eastAsia="Calibri" w:hAnsi="Calibri"/>
                <w:color w:val="333333"/>
                <w:sz w:val="17"/>
                <w:szCs w:val="17"/>
              </w:rPr>
              <w:t xml:space="preserve">Codex cloud-native coding agent gaining enterprise traction</w:t>
            </w:r>
          </w:p>
          <w:p>
            <w:pPr>
              <w:pStyle w:val="ListParagraph"/>
              <w:numPr>
                <w:ilvl w:val="0"/>
                <w:numId w:val="1"/>
              </w:numPr>
              <w:spacing w:after="60"/>
            </w:pPr>
            <w:r>
              <w:rPr>
                <w:rFonts w:ascii="Calibri" w:cs="Calibri" w:eastAsia="Calibri" w:hAnsi="Calibri"/>
                <w:color w:val="333333"/>
                <w:sz w:val="17"/>
                <w:szCs w:val="17"/>
              </w:rPr>
              <w:t xml:space="preserve">Broad API adoption across thousands of developer platforms</w:t>
            </w:r>
          </w:p>
          <w:p>
            <w:pPr>
              <w:pStyle w:val="ListParagraph"/>
              <w:numPr>
                <w:ilvl w:val="0"/>
                <w:numId w:val="1"/>
              </w:numPr>
              <w:spacing w:after="60"/>
            </w:pPr>
            <w:r>
              <w:rPr>
                <w:rFonts w:ascii="Calibri" w:cs="Calibri" w:eastAsia="Calibri" w:hAnsi="Calibri"/>
                <w:color w:val="333333"/>
                <w:sz w:val="17"/>
                <w:szCs w:val="17"/>
              </w:rPr>
              <w:t xml:space="preserve">Memory and personalisation features widely praised by users</w:t>
            </w:r>
          </w:p>
        </w:tc>
        <w:tc>
          <w:tcPr>
            <w:tcW w:type="dxa" w:w="4680"/>
            <w:tcBorders>
              <w:top w:val="single" w:color="FFE082" w:sz="4"/>
              <w:left w:val="single" w:color="FFE082" w:sz="4"/>
              <w:bottom w:val="single" w:color="FFE082" w:sz="4"/>
              <w:right w:val="single" w:color="FFE082" w:sz="4"/>
            </w:tcBorders>
            <w:shd w:fill="FFF8E1" w:val="clear"/>
            <w:tcMar>
              <w:top w:type="dxa" w:w="100"/>
              <w:left w:type="dxa" w:w="140"/>
              <w:bottom w:type="dxa" w:w="100"/>
              <w:right w:type="dxa" w:w="140"/>
            </w:tcMar>
          </w:tcPr>
          <w:p>
            <w:pPr>
              <w:spacing w:after="80"/>
            </w:pPr>
            <w:r>
              <w:rPr>
                <w:rFonts w:ascii="Calibri" w:cs="Calibri" w:eastAsia="Calibri" w:hAnsi="Calibri"/>
                <w:b/>
                <w:bCs/>
                <w:caps/>
                <w:color w:val="E65100"/>
                <w:sz w:val="18"/>
                <w:szCs w:val="18"/>
              </w:rPr>
              <w:t xml:space="preserve">Threats</w:t>
            </w:r>
          </w:p>
          <w:p>
            <w:pPr>
              <w:pStyle w:val="ListParagraph"/>
              <w:numPr>
                <w:ilvl w:val="0"/>
                <w:numId w:val="1"/>
              </w:numPr>
              <w:spacing w:after="60"/>
            </w:pPr>
            <w:r>
              <w:rPr>
                <w:rFonts w:ascii="Calibri" w:cs="Calibri" w:eastAsia="Calibri" w:hAnsi="Calibri"/>
                <w:color w:val="333333"/>
                <w:sz w:val="17"/>
                <w:szCs w:val="17"/>
              </w:rPr>
              <w:t xml:space="preserve">Rapid benchmark parity from Gemini 3.1 Pro and Claude Opus 4.6</w:t>
            </w:r>
          </w:p>
          <w:p>
            <w:pPr>
              <w:pStyle w:val="ListParagraph"/>
              <w:numPr>
                <w:ilvl w:val="0"/>
                <w:numId w:val="1"/>
              </w:numPr>
              <w:spacing w:after="60"/>
            </w:pPr>
            <w:r>
              <w:rPr>
                <w:rFonts w:ascii="Calibri" w:cs="Calibri" w:eastAsia="Calibri" w:hAnsi="Calibri"/>
                <w:color w:val="333333"/>
                <w:sz w:val="17"/>
                <w:szCs w:val="17"/>
              </w:rPr>
              <w:t xml:space="preserve">DeepSeek matching quality at far lower cost</w:t>
            </w:r>
          </w:p>
          <w:p>
            <w:pPr>
              <w:pStyle w:val="ListParagraph"/>
              <w:numPr>
                <w:ilvl w:val="0"/>
                <w:numId w:val="1"/>
              </w:numPr>
              <w:spacing w:after="60"/>
            </w:pPr>
            <w:r>
              <w:rPr>
                <w:rFonts w:ascii="Calibri" w:cs="Calibri" w:eastAsia="Calibri" w:hAnsi="Calibri"/>
                <w:color w:val="333333"/>
                <w:sz w:val="17"/>
                <w:szCs w:val="17"/>
              </w:rPr>
              <w:t xml:space="preserve">Open-source alternatives steadily reducing vendor lock-in</w:t>
            </w:r>
          </w:p>
        </w:tc>
      </w:tr>
    </w:tbl>
    <w:p>
      <w:pPr>
        <w:spacing w:after="160"/>
      </w:pPr>
      <w:r>
        <w:t xml:space="preserve"/>
      </w:r>
    </w:p>
    <w:p>
      <w:pPr>
        <w:pageBreakBefore/>
      </w:pPr>
      <w:r>
        <w:rPr>
          <w:sz w:val="20"/>
          <w:szCs w:val="20"/>
        </w:rPr>
        <w:t xml:space="preserve"/>
      </w:r>
    </w:p>
    <w:p>
      <w:pPr>
        <w:pStyle w:val="Heading1"/>
        <w:spacing w:before="320" w:after="120"/>
      </w:pPr>
      <w:r>
        <w:rPr>
          <w:rFonts w:ascii="Calibri" w:cs="Calibri" w:eastAsia="Calibri" w:hAnsi="Calibri"/>
          <w:b/>
          <w:bCs/>
          <w:color w:val="1F2B45"/>
          <w:sz w:val="36"/>
          <w:szCs w:val="36"/>
        </w:rPr>
        <w:t xml:space="preserve">2. Gemini 3.1 Pro</w:t>
      </w:r>
    </w:p>
    <w:p>
      <w:pPr>
        <w:spacing w:after="80"/>
      </w:pPr>
      <w:r>
        <w:rPr>
          <w:rFonts w:ascii="Calibri" w:cs="Calibri" w:eastAsia="Calibri" w:hAnsi="Calibri"/>
          <w:b/>
          <w:bCs/>
          <w:color w:val="C9A84C"/>
          <w:sz w:val="22"/>
          <w:szCs w:val="22"/>
        </w:rPr>
        <w:t xml:space="preserve">Google</w:t>
      </w:r>
    </w:p>
    <w:p>
      <w:pPr>
        <w:spacing w:after="160"/>
      </w:pPr>
      <w:r>
        <w:rPr>
          <w:rFonts w:ascii="Calibri" w:cs="Calibri" w:eastAsia="Calibri" w:hAnsi="Calibri"/>
          <w:i/>
          <w:iCs/>
          <w:color w:val="595959"/>
          <w:sz w:val="18"/>
          <w:szCs w:val="18"/>
        </w:rPr>
        <w:t xml:space="preserve">Composite Score: 8.20 / 10  |  Rank: #2 of 10</w:t>
      </w:r>
    </w:p>
    <w:p>
      <w:pPr>
        <w:pBdr>
          <w:bottom w:val="single" w:color="C9A84C" w:sz="8"/>
        </w:pBd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A5D6A7" w:sz="4"/>
              <w:left w:val="single" w:color="A5D6A7" w:sz="4"/>
              <w:bottom w:val="single" w:color="A5D6A7" w:sz="4"/>
              <w:right w:val="single" w:color="A5D6A7" w:sz="4"/>
            </w:tcBorders>
            <w:shd w:fill="E8F5E9" w:val="clear"/>
            <w:tcMar>
              <w:top w:type="dxa" w:w="100"/>
              <w:left w:type="dxa" w:w="140"/>
              <w:bottom w:type="dxa" w:w="100"/>
              <w:right w:type="dxa" w:w="140"/>
            </w:tcMar>
          </w:tcPr>
          <w:p>
            <w:pPr>
              <w:spacing w:after="80"/>
            </w:pPr>
            <w:r>
              <w:rPr>
                <w:rFonts w:ascii="Calibri" w:cs="Calibri" w:eastAsia="Calibri" w:hAnsi="Calibri"/>
                <w:b/>
                <w:bCs/>
                <w:caps/>
                <w:color w:val="1B5E20"/>
                <w:sz w:val="18"/>
                <w:szCs w:val="18"/>
              </w:rPr>
              <w:t xml:space="preserve">Strengths</w:t>
            </w:r>
          </w:p>
          <w:p>
            <w:pPr>
              <w:pStyle w:val="ListParagraph"/>
              <w:numPr>
                <w:ilvl w:val="0"/>
                <w:numId w:val="1"/>
              </w:numPr>
              <w:spacing w:after="60"/>
            </w:pPr>
            <w:r>
              <w:rPr>
                <w:rFonts w:ascii="Calibri" w:cs="Calibri" w:eastAsia="Calibri" w:hAnsi="Calibri"/>
                <w:color w:val="333333"/>
                <w:sz w:val="17"/>
                <w:szCs w:val="17"/>
              </w:rPr>
              <w:t xml:space="preserve">Leads Artificial Analysis Intelligence Index — score 57</w:t>
            </w:r>
          </w:p>
          <w:p>
            <w:pPr>
              <w:pStyle w:val="ListParagraph"/>
              <w:numPr>
                <w:ilvl w:val="0"/>
                <w:numId w:val="1"/>
              </w:numPr>
              <w:spacing w:after="60"/>
            </w:pPr>
            <w:r>
              <w:rPr>
                <w:rFonts w:ascii="Calibri" w:cs="Calibri" w:eastAsia="Calibri" w:hAnsi="Calibri"/>
                <w:color w:val="333333"/>
                <w:sz w:val="17"/>
                <w:szCs w:val="17"/>
              </w:rPr>
              <w:t xml:space="preserve">Best-in-class multimodal capabilities across text, image, audio, and video</w:t>
            </w:r>
          </w:p>
          <w:p>
            <w:pPr>
              <w:pStyle w:val="ListParagraph"/>
              <w:numPr>
                <w:ilvl w:val="0"/>
                <w:numId w:val="1"/>
              </w:numPr>
              <w:spacing w:after="60"/>
            </w:pPr>
            <w:r>
              <w:rPr>
                <w:rFonts w:ascii="Calibri" w:cs="Calibri" w:eastAsia="Calibri" w:hAnsi="Calibri"/>
                <w:color w:val="333333"/>
                <w:sz w:val="17"/>
                <w:szCs w:val="17"/>
              </w:rPr>
              <w:t xml:space="preserve">Best price-performance ratio of closed frontier models at $2/$12 per 1M tokens</w:t>
            </w:r>
          </w:p>
          <w:p>
            <w:pPr>
              <w:pStyle w:val="ListParagraph"/>
              <w:numPr>
                <w:ilvl w:val="0"/>
                <w:numId w:val="1"/>
              </w:numPr>
              <w:spacing w:after="60"/>
            </w:pPr>
            <w:r>
              <w:rPr>
                <w:rFonts w:ascii="Calibri" w:cs="Calibri" w:eastAsia="Calibri" w:hAnsi="Calibri"/>
                <w:color w:val="333333"/>
                <w:sz w:val="17"/>
                <w:szCs w:val="17"/>
              </w:rPr>
              <w:t xml:space="preserve">Native Google Workspace and Search integration for 3 billion users</w:t>
            </w:r>
          </w:p>
        </w:tc>
        <w:tc>
          <w:tcPr>
            <w:tcW w:type="dxa" w:w="4680"/>
            <w:tcBorders>
              <w:top w:val="single" w:color="EF9A9A" w:sz="4"/>
              <w:left w:val="single" w:color="EF9A9A" w:sz="4"/>
              <w:bottom w:val="single" w:color="EF9A9A" w:sz="4"/>
              <w:right w:val="single" w:color="EF9A9A" w:sz="4"/>
            </w:tcBorders>
            <w:shd w:fill="FFEBEE" w:val="clear"/>
            <w:tcMar>
              <w:top w:type="dxa" w:w="100"/>
              <w:left w:type="dxa" w:w="140"/>
              <w:bottom w:type="dxa" w:w="100"/>
              <w:right w:type="dxa" w:w="140"/>
            </w:tcMar>
          </w:tcPr>
          <w:p>
            <w:pPr>
              <w:spacing w:after="80"/>
            </w:pPr>
            <w:r>
              <w:rPr>
                <w:rFonts w:ascii="Calibri" w:cs="Calibri" w:eastAsia="Calibri" w:hAnsi="Calibri"/>
                <w:b/>
                <w:bCs/>
                <w:caps/>
                <w:color w:val="B71C1C"/>
                <w:sz w:val="18"/>
                <w:szCs w:val="18"/>
              </w:rPr>
              <w:t xml:space="preserve">Weaknesses</w:t>
            </w:r>
          </w:p>
          <w:p>
            <w:pPr>
              <w:pStyle w:val="ListParagraph"/>
              <w:numPr>
                <w:ilvl w:val="0"/>
                <w:numId w:val="1"/>
              </w:numPr>
              <w:spacing w:after="60"/>
            </w:pPr>
            <w:r>
              <w:rPr>
                <w:rFonts w:ascii="Calibri" w:cs="Calibri" w:eastAsia="Calibri" w:hAnsi="Calibri"/>
                <w:color w:val="333333"/>
                <w:sz w:val="17"/>
                <w:szCs w:val="17"/>
              </w:rPr>
              <w:t xml:space="preserve">Coding tasks sometimes cited as weaker vs Claude Opus</w:t>
            </w:r>
          </w:p>
          <w:p>
            <w:pPr>
              <w:pStyle w:val="ListParagraph"/>
              <w:numPr>
                <w:ilvl w:val="0"/>
                <w:numId w:val="1"/>
              </w:numPr>
              <w:spacing w:after="60"/>
            </w:pPr>
            <w:r>
              <w:rPr>
                <w:rFonts w:ascii="Calibri" w:cs="Calibri" w:eastAsia="Calibri" w:hAnsi="Calibri"/>
                <w:color w:val="333333"/>
                <w:sz w:val="17"/>
                <w:szCs w:val="17"/>
              </w:rPr>
              <w:t xml:space="preserve">Enterprise tooling maturity still trails OpenAI in some workflows</w:t>
            </w:r>
          </w:p>
          <w:p>
            <w:pPr>
              <w:pStyle w:val="ListParagraph"/>
              <w:numPr>
                <w:ilvl w:val="0"/>
                <w:numId w:val="1"/>
              </w:numPr>
              <w:spacing w:after="60"/>
            </w:pPr>
            <w:r>
              <w:rPr>
                <w:rFonts w:ascii="Calibri" w:cs="Calibri" w:eastAsia="Calibri" w:hAnsi="Calibri"/>
                <w:color w:val="333333"/>
                <w:sz w:val="17"/>
                <w:szCs w:val="17"/>
              </w:rPr>
              <w:t xml:space="preserve">Historical Google privacy controversies create enterprise hesitancy</w:t>
            </w:r>
          </w:p>
        </w:tc>
      </w:tr>
      <w:tr>
        <w:tc>
          <w:tcPr>
            <w:tcW w:type="dxa" w:w="4680"/>
            <w:tcBorders>
              <w:top w:val="single" w:color="90CAF9" w:sz="4"/>
              <w:left w:val="single" w:color="90CAF9" w:sz="4"/>
              <w:bottom w:val="single" w:color="90CAF9" w:sz="4"/>
              <w:right w:val="single" w:color="90CAF9" w:sz="4"/>
            </w:tcBorders>
            <w:shd w:fill="E3F2FD" w:val="clear"/>
            <w:tcMar>
              <w:top w:type="dxa" w:w="100"/>
              <w:left w:type="dxa" w:w="140"/>
              <w:bottom w:type="dxa" w:w="100"/>
              <w:right w:type="dxa" w:w="140"/>
            </w:tcMar>
          </w:tcPr>
          <w:p>
            <w:pPr>
              <w:spacing w:after="80"/>
            </w:pPr>
            <w:r>
              <w:rPr>
                <w:rFonts w:ascii="Calibri" w:cs="Calibri" w:eastAsia="Calibri" w:hAnsi="Calibri"/>
                <w:b/>
                <w:bCs/>
                <w:caps/>
                <w:color w:val="0D47A1"/>
                <w:sz w:val="18"/>
                <w:szCs w:val="18"/>
              </w:rPr>
              <w:t xml:space="preserve">Opportunities</w:t>
            </w:r>
          </w:p>
          <w:p>
            <w:pPr>
              <w:pStyle w:val="ListParagraph"/>
              <w:numPr>
                <w:ilvl w:val="0"/>
                <w:numId w:val="1"/>
              </w:numPr>
              <w:spacing w:after="60"/>
            </w:pPr>
            <w:r>
              <w:rPr>
                <w:rFonts w:ascii="Calibri" w:cs="Calibri" w:eastAsia="Calibri" w:hAnsi="Calibri"/>
                <w:color w:val="333333"/>
                <w:sz w:val="17"/>
                <w:szCs w:val="17"/>
              </w:rPr>
              <w:t xml:space="preserve">Veo 3 video generation opens media and creative enterprise markets</w:t>
            </w:r>
          </w:p>
          <w:p>
            <w:pPr>
              <w:pStyle w:val="ListParagraph"/>
              <w:numPr>
                <w:ilvl w:val="0"/>
                <w:numId w:val="1"/>
              </w:numPr>
              <w:spacing w:after="60"/>
            </w:pPr>
            <w:r>
              <w:rPr>
                <w:rFonts w:ascii="Calibri" w:cs="Calibri" w:eastAsia="Calibri" w:hAnsi="Calibri"/>
                <w:color w:val="333333"/>
                <w:sz w:val="17"/>
                <w:szCs w:val="17"/>
              </w:rPr>
              <w:t xml:space="preserve">AI Overviews and Grounding drive research-workflow dominance</w:t>
            </w:r>
          </w:p>
          <w:p>
            <w:pPr>
              <w:pStyle w:val="ListParagraph"/>
              <w:numPr>
                <w:ilvl w:val="0"/>
                <w:numId w:val="1"/>
              </w:numPr>
              <w:spacing w:after="60"/>
            </w:pPr>
            <w:r>
              <w:rPr>
                <w:rFonts w:ascii="Calibri" w:cs="Calibri" w:eastAsia="Calibri" w:hAnsi="Calibri"/>
                <w:color w:val="333333"/>
                <w:sz w:val="17"/>
                <w:szCs w:val="17"/>
              </w:rPr>
              <w:t xml:space="preserve">Google Workspace AI adoption accelerating across enterprise base</w:t>
            </w:r>
          </w:p>
        </w:tc>
        <w:tc>
          <w:tcPr>
            <w:tcW w:type="dxa" w:w="4680"/>
            <w:tcBorders>
              <w:top w:val="single" w:color="FFE082" w:sz="4"/>
              <w:left w:val="single" w:color="FFE082" w:sz="4"/>
              <w:bottom w:val="single" w:color="FFE082" w:sz="4"/>
              <w:right w:val="single" w:color="FFE082" w:sz="4"/>
            </w:tcBorders>
            <w:shd w:fill="FFF8E1" w:val="clear"/>
            <w:tcMar>
              <w:top w:type="dxa" w:w="100"/>
              <w:left w:type="dxa" w:w="140"/>
              <w:bottom w:type="dxa" w:w="100"/>
              <w:right w:type="dxa" w:w="140"/>
            </w:tcMar>
          </w:tcPr>
          <w:p>
            <w:pPr>
              <w:spacing w:after="80"/>
            </w:pPr>
            <w:r>
              <w:rPr>
                <w:rFonts w:ascii="Calibri" w:cs="Calibri" w:eastAsia="Calibri" w:hAnsi="Calibri"/>
                <w:b/>
                <w:bCs/>
                <w:caps/>
                <w:color w:val="E65100"/>
                <w:sz w:val="18"/>
                <w:szCs w:val="18"/>
              </w:rPr>
              <w:t xml:space="preserve">Threats</w:t>
            </w:r>
          </w:p>
          <w:p>
            <w:pPr>
              <w:pStyle w:val="ListParagraph"/>
              <w:numPr>
                <w:ilvl w:val="0"/>
                <w:numId w:val="1"/>
              </w:numPr>
              <w:spacing w:after="60"/>
            </w:pPr>
            <w:r>
              <w:rPr>
                <w:rFonts w:ascii="Calibri" w:cs="Calibri" w:eastAsia="Calibri" w:hAnsi="Calibri"/>
                <w:color w:val="333333"/>
                <w:sz w:val="17"/>
                <w:szCs w:val="17"/>
              </w:rPr>
              <w:t xml:space="preserve">OpenAI brand dominance and developer ecosystem entrenched</w:t>
            </w:r>
          </w:p>
          <w:p>
            <w:pPr>
              <w:pStyle w:val="ListParagraph"/>
              <w:numPr>
                <w:ilvl w:val="0"/>
                <w:numId w:val="1"/>
              </w:numPr>
              <w:spacing w:after="60"/>
            </w:pPr>
            <w:r>
              <w:rPr>
                <w:rFonts w:ascii="Calibri" w:cs="Calibri" w:eastAsia="Calibri" w:hAnsi="Calibri"/>
                <w:color w:val="333333"/>
                <w:sz w:val="17"/>
                <w:szCs w:val="17"/>
              </w:rPr>
              <w:t xml:space="preserve">Claude Opus 4.6 leads on coding-specific benchmarks</w:t>
            </w:r>
          </w:p>
          <w:p>
            <w:pPr>
              <w:pStyle w:val="ListParagraph"/>
              <w:numPr>
                <w:ilvl w:val="0"/>
                <w:numId w:val="1"/>
              </w:numPr>
              <w:spacing w:after="60"/>
            </w:pPr>
            <w:r>
              <w:rPr>
                <w:rFonts w:ascii="Calibri" w:cs="Calibri" w:eastAsia="Calibri" w:hAnsi="Calibri"/>
                <w:color w:val="333333"/>
                <w:sz w:val="17"/>
                <w:szCs w:val="17"/>
              </w:rPr>
              <w:t xml:space="preserve">Gemini brand trust eroded by rushed Bard-era missteps</w:t>
            </w:r>
          </w:p>
        </w:tc>
      </w:tr>
    </w:tbl>
    <w:p>
      <w:pPr>
        <w:spacing w:after="160"/>
      </w:pPr>
      <w:r>
        <w:t xml:space="preserve"/>
      </w:r>
    </w:p>
    <w:p>
      <w:pPr>
        <w:pageBreakBefore/>
      </w:pPr>
      <w:r>
        <w:rPr>
          <w:sz w:val="20"/>
          <w:szCs w:val="20"/>
        </w:rPr>
        <w:t xml:space="preserve"/>
      </w:r>
    </w:p>
    <w:p>
      <w:pPr>
        <w:pStyle w:val="Heading1"/>
        <w:spacing w:before="320" w:after="120"/>
      </w:pPr>
      <w:r>
        <w:rPr>
          <w:rFonts w:ascii="Calibri" w:cs="Calibri" w:eastAsia="Calibri" w:hAnsi="Calibri"/>
          <w:b/>
          <w:bCs/>
          <w:color w:val="1F2B45"/>
          <w:sz w:val="36"/>
          <w:szCs w:val="36"/>
        </w:rPr>
        <w:t xml:space="preserve">3. Microsoft Copilot</w:t>
      </w:r>
    </w:p>
    <w:p>
      <w:pPr>
        <w:spacing w:after="80"/>
      </w:pPr>
      <w:r>
        <w:rPr>
          <w:rFonts w:ascii="Calibri" w:cs="Calibri" w:eastAsia="Calibri" w:hAnsi="Calibri"/>
          <w:b/>
          <w:bCs/>
          <w:color w:val="C9A84C"/>
          <w:sz w:val="22"/>
          <w:szCs w:val="22"/>
        </w:rPr>
        <w:t xml:space="preserve">Microsoft</w:t>
      </w:r>
    </w:p>
    <w:p>
      <w:pPr>
        <w:spacing w:after="160"/>
      </w:pPr>
      <w:r>
        <w:rPr>
          <w:rFonts w:ascii="Calibri" w:cs="Calibri" w:eastAsia="Calibri" w:hAnsi="Calibri"/>
          <w:i/>
          <w:iCs/>
          <w:color w:val="595959"/>
          <w:sz w:val="18"/>
          <w:szCs w:val="18"/>
        </w:rPr>
        <w:t xml:space="preserve">Composite Score: 7.80 / 10  |  Rank: #3 of 10</w:t>
      </w:r>
    </w:p>
    <w:p>
      <w:pPr>
        <w:pBdr>
          <w:bottom w:val="single" w:color="C9A84C" w:sz="8"/>
        </w:pBd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A5D6A7" w:sz="4"/>
              <w:left w:val="single" w:color="A5D6A7" w:sz="4"/>
              <w:bottom w:val="single" w:color="A5D6A7" w:sz="4"/>
              <w:right w:val="single" w:color="A5D6A7" w:sz="4"/>
            </w:tcBorders>
            <w:shd w:fill="E8F5E9" w:val="clear"/>
            <w:tcMar>
              <w:top w:type="dxa" w:w="100"/>
              <w:left w:type="dxa" w:w="140"/>
              <w:bottom w:type="dxa" w:w="100"/>
              <w:right w:type="dxa" w:w="140"/>
            </w:tcMar>
          </w:tcPr>
          <w:p>
            <w:pPr>
              <w:spacing w:after="80"/>
            </w:pPr>
            <w:r>
              <w:rPr>
                <w:rFonts w:ascii="Calibri" w:cs="Calibri" w:eastAsia="Calibri" w:hAnsi="Calibri"/>
                <w:b/>
                <w:bCs/>
                <w:caps/>
                <w:color w:val="1B5E20"/>
                <w:sz w:val="18"/>
                <w:szCs w:val="18"/>
              </w:rPr>
              <w:t xml:space="preserve">Strengths</w:t>
            </w:r>
          </w:p>
          <w:p>
            <w:pPr>
              <w:pStyle w:val="ListParagraph"/>
              <w:numPr>
                <w:ilvl w:val="0"/>
                <w:numId w:val="1"/>
              </w:numPr>
              <w:spacing w:after="60"/>
            </w:pPr>
            <w:r>
              <w:rPr>
                <w:rFonts w:ascii="Calibri" w:cs="Calibri" w:eastAsia="Calibri" w:hAnsi="Calibri"/>
                <w:color w:val="333333"/>
                <w:sz w:val="17"/>
                <w:szCs w:val="17"/>
              </w:rPr>
              <w:t xml:space="preserve">Deepest Microsoft 365 integration across Word, Excel, PowerPoint, Teams, Outlook</w:t>
            </w:r>
          </w:p>
          <w:p>
            <w:pPr>
              <w:pStyle w:val="ListParagraph"/>
              <w:numPr>
                <w:ilvl w:val="0"/>
                <w:numId w:val="1"/>
              </w:numPr>
              <w:spacing w:after="60"/>
            </w:pPr>
            <w:r>
              <w:rPr>
                <w:rFonts w:ascii="Calibri" w:cs="Calibri" w:eastAsia="Calibri" w:hAnsi="Calibri"/>
                <w:color w:val="333333"/>
                <w:sz w:val="17"/>
                <w:szCs w:val="17"/>
              </w:rPr>
              <w:t xml:space="preserve">Powered by GPT-5 family via OpenAI partnership — 15 million paid enterprise seats</w:t>
            </w:r>
          </w:p>
          <w:p>
            <w:pPr>
              <w:pStyle w:val="ListParagraph"/>
              <w:numPr>
                <w:ilvl w:val="0"/>
                <w:numId w:val="1"/>
              </w:numPr>
              <w:spacing w:after="60"/>
            </w:pPr>
            <w:r>
              <w:rPr>
                <w:rFonts w:ascii="Calibri" w:cs="Calibri" w:eastAsia="Calibri" w:hAnsi="Calibri"/>
                <w:color w:val="333333"/>
                <w:sz w:val="17"/>
                <w:szCs w:val="17"/>
              </w:rPr>
              <w:t xml:space="preserve">Copilot Studio enables low-code custom agent development</w:t>
            </w:r>
          </w:p>
          <w:p>
            <w:pPr>
              <w:pStyle w:val="ListParagraph"/>
              <w:numPr>
                <w:ilvl w:val="0"/>
                <w:numId w:val="1"/>
              </w:numPr>
              <w:spacing w:after="60"/>
            </w:pPr>
            <w:r>
              <w:rPr>
                <w:rFonts w:ascii="Calibri" w:cs="Calibri" w:eastAsia="Calibri" w:hAnsi="Calibri"/>
                <w:color w:val="333333"/>
                <w:sz w:val="17"/>
                <w:szCs w:val="17"/>
              </w:rPr>
              <w:t xml:space="preserve">90% of Fortune 500 actively using it; 400M+ M365 seat distribution base</w:t>
            </w:r>
          </w:p>
        </w:tc>
        <w:tc>
          <w:tcPr>
            <w:tcW w:type="dxa" w:w="4680"/>
            <w:tcBorders>
              <w:top w:val="single" w:color="EF9A9A" w:sz="4"/>
              <w:left w:val="single" w:color="EF9A9A" w:sz="4"/>
              <w:bottom w:val="single" w:color="EF9A9A" w:sz="4"/>
              <w:right w:val="single" w:color="EF9A9A" w:sz="4"/>
            </w:tcBorders>
            <w:shd w:fill="FFEBEE" w:val="clear"/>
            <w:tcMar>
              <w:top w:type="dxa" w:w="100"/>
              <w:left w:type="dxa" w:w="140"/>
              <w:bottom w:type="dxa" w:w="100"/>
              <w:right w:type="dxa" w:w="140"/>
            </w:tcMar>
          </w:tcPr>
          <w:p>
            <w:pPr>
              <w:spacing w:after="80"/>
            </w:pPr>
            <w:r>
              <w:rPr>
                <w:rFonts w:ascii="Calibri" w:cs="Calibri" w:eastAsia="Calibri" w:hAnsi="Calibri"/>
                <w:b/>
                <w:bCs/>
                <w:caps/>
                <w:color w:val="B71C1C"/>
                <w:sz w:val="18"/>
                <w:szCs w:val="18"/>
              </w:rPr>
              <w:t xml:space="preserve">Weaknesses</w:t>
            </w:r>
          </w:p>
          <w:p>
            <w:pPr>
              <w:pStyle w:val="ListParagraph"/>
              <w:numPr>
                <w:ilvl w:val="0"/>
                <w:numId w:val="1"/>
              </w:numPr>
              <w:spacing w:after="60"/>
            </w:pPr>
            <w:r>
              <w:rPr>
                <w:rFonts w:ascii="Calibri" w:cs="Calibri" w:eastAsia="Calibri" w:hAnsi="Calibri"/>
                <w:color w:val="333333"/>
                <w:sz w:val="17"/>
                <w:szCs w:val="17"/>
              </w:rPr>
              <w:t xml:space="preserve">Only 3.3% of M365 users who touch Copilot Chat actually pay for it</w:t>
            </w:r>
          </w:p>
          <w:p>
            <w:pPr>
              <w:pStyle w:val="ListParagraph"/>
              <w:numPr>
                <w:ilvl w:val="0"/>
                <w:numId w:val="1"/>
              </w:numPr>
              <w:spacing w:after="60"/>
            </w:pPr>
            <w:r>
              <w:rPr>
                <w:rFonts w:ascii="Calibri" w:cs="Calibri" w:eastAsia="Calibri" w:hAnsi="Calibri"/>
                <w:color w:val="333333"/>
                <w:sz w:val="17"/>
                <w:szCs w:val="17"/>
              </w:rPr>
              <w:t xml:space="preserve">Perceived as repackaged OpenAI tech without differentiation</w:t>
            </w:r>
          </w:p>
          <w:p>
            <w:pPr>
              <w:pStyle w:val="ListParagraph"/>
              <w:numPr>
                <w:ilvl w:val="0"/>
                <w:numId w:val="1"/>
              </w:numPr>
              <w:spacing w:after="60"/>
            </w:pPr>
            <w:r>
              <w:rPr>
                <w:rFonts w:ascii="Calibri" w:cs="Calibri" w:eastAsia="Calibri" w:hAnsi="Calibri"/>
                <w:color w:val="333333"/>
                <w:sz w:val="17"/>
                <w:szCs w:val="17"/>
              </w:rPr>
              <w:t xml:space="preserve">Weak standalone performance outside Microsoft ecosystem</w:t>
            </w:r>
          </w:p>
          <w:p>
            <w:pPr>
              <w:pStyle w:val="ListParagraph"/>
              <w:numPr>
                <w:ilvl w:val="0"/>
                <w:numId w:val="1"/>
              </w:numPr>
              <w:spacing w:after="60"/>
            </w:pPr>
            <w:r>
              <w:rPr>
                <w:rFonts w:ascii="Calibri" w:cs="Calibri" w:eastAsia="Calibri" w:hAnsi="Calibri"/>
                <w:color w:val="333333"/>
                <w:sz w:val="17"/>
                <w:szCs w:val="17"/>
              </w:rPr>
              <w:t xml:space="preserve">High additional cost on top of existing M365 licenses</w:t>
            </w:r>
          </w:p>
        </w:tc>
      </w:tr>
      <w:tr>
        <w:tc>
          <w:tcPr>
            <w:tcW w:type="dxa" w:w="4680"/>
            <w:tcBorders>
              <w:top w:val="single" w:color="90CAF9" w:sz="4"/>
              <w:left w:val="single" w:color="90CAF9" w:sz="4"/>
              <w:bottom w:val="single" w:color="90CAF9" w:sz="4"/>
              <w:right w:val="single" w:color="90CAF9" w:sz="4"/>
            </w:tcBorders>
            <w:shd w:fill="E3F2FD" w:val="clear"/>
            <w:tcMar>
              <w:top w:type="dxa" w:w="100"/>
              <w:left w:type="dxa" w:w="140"/>
              <w:bottom w:type="dxa" w:w="100"/>
              <w:right w:type="dxa" w:w="140"/>
            </w:tcMar>
          </w:tcPr>
          <w:p>
            <w:pPr>
              <w:spacing w:after="80"/>
            </w:pPr>
            <w:r>
              <w:rPr>
                <w:rFonts w:ascii="Calibri" w:cs="Calibri" w:eastAsia="Calibri" w:hAnsi="Calibri"/>
                <w:b/>
                <w:bCs/>
                <w:caps/>
                <w:color w:val="0D47A1"/>
                <w:sz w:val="18"/>
                <w:szCs w:val="18"/>
              </w:rPr>
              <w:t xml:space="preserve">Opportunities</w:t>
            </w:r>
          </w:p>
          <w:p>
            <w:pPr>
              <w:pStyle w:val="ListParagraph"/>
              <w:numPr>
                <w:ilvl w:val="0"/>
                <w:numId w:val="1"/>
              </w:numPr>
              <w:spacing w:after="60"/>
            </w:pPr>
            <w:r>
              <w:rPr>
                <w:rFonts w:ascii="Calibri" w:cs="Calibri" w:eastAsia="Calibri" w:hAnsi="Calibri"/>
                <w:color w:val="333333"/>
                <w:sz w:val="17"/>
                <w:szCs w:val="17"/>
              </w:rPr>
              <w:t xml:space="preserve">AI and security features bundled into M365 from July 2026</w:t>
            </w:r>
          </w:p>
          <w:p>
            <w:pPr>
              <w:pStyle w:val="ListParagraph"/>
              <w:numPr>
                <w:ilvl w:val="0"/>
                <w:numId w:val="1"/>
              </w:numPr>
              <w:spacing w:after="60"/>
            </w:pPr>
            <w:r>
              <w:rPr>
                <w:rFonts w:ascii="Calibri" w:cs="Calibri" w:eastAsia="Calibri" w:hAnsi="Calibri"/>
                <w:color w:val="333333"/>
                <w:sz w:val="17"/>
                <w:szCs w:val="17"/>
              </w:rPr>
              <w:t xml:space="preserve">Agentic AI shift — autonomous agents across business workflows</w:t>
            </w:r>
          </w:p>
          <w:p>
            <w:pPr>
              <w:pStyle w:val="ListParagraph"/>
              <w:numPr>
                <w:ilvl w:val="0"/>
                <w:numId w:val="1"/>
              </w:numPr>
              <w:spacing w:after="60"/>
            </w:pPr>
            <w:r>
              <w:rPr>
                <w:rFonts w:ascii="Calibri" w:cs="Calibri" w:eastAsia="Calibri" w:hAnsi="Calibri"/>
                <w:color w:val="333333"/>
                <w:sz w:val="17"/>
                <w:szCs w:val="17"/>
              </w:rPr>
              <w:t xml:space="preserve">Massive enterprise base to convert with deeper workflow integration</w:t>
            </w:r>
          </w:p>
          <w:p>
            <w:pPr>
              <w:pStyle w:val="ListParagraph"/>
              <w:numPr>
                <w:ilvl w:val="0"/>
                <w:numId w:val="1"/>
              </w:numPr>
              <w:spacing w:after="60"/>
            </w:pPr>
            <w:r>
              <w:rPr>
                <w:rFonts w:ascii="Calibri" w:cs="Calibri" w:eastAsia="Calibri" w:hAnsi="Calibri"/>
                <w:color w:val="333333"/>
                <w:sz w:val="17"/>
                <w:szCs w:val="17"/>
              </w:rPr>
              <w:t xml:space="preserve">GitHub Copilot strong in developer coding assistance market</w:t>
            </w:r>
          </w:p>
        </w:tc>
        <w:tc>
          <w:tcPr>
            <w:tcW w:type="dxa" w:w="4680"/>
            <w:tcBorders>
              <w:top w:val="single" w:color="FFE082" w:sz="4"/>
              <w:left w:val="single" w:color="FFE082" w:sz="4"/>
              <w:bottom w:val="single" w:color="FFE082" w:sz="4"/>
              <w:right w:val="single" w:color="FFE082" w:sz="4"/>
            </w:tcBorders>
            <w:shd w:fill="FFF8E1" w:val="clear"/>
            <w:tcMar>
              <w:top w:type="dxa" w:w="100"/>
              <w:left w:type="dxa" w:w="140"/>
              <w:bottom w:type="dxa" w:w="100"/>
              <w:right w:type="dxa" w:w="140"/>
            </w:tcMar>
          </w:tcPr>
          <w:p>
            <w:pPr>
              <w:spacing w:after="80"/>
            </w:pPr>
            <w:r>
              <w:rPr>
                <w:rFonts w:ascii="Calibri" w:cs="Calibri" w:eastAsia="Calibri" w:hAnsi="Calibri"/>
                <w:b/>
                <w:bCs/>
                <w:caps/>
                <w:color w:val="E65100"/>
                <w:sz w:val="18"/>
                <w:szCs w:val="18"/>
              </w:rPr>
              <w:t xml:space="preserve">Threats</w:t>
            </w:r>
          </w:p>
          <w:p>
            <w:pPr>
              <w:pStyle w:val="ListParagraph"/>
              <w:numPr>
                <w:ilvl w:val="0"/>
                <w:numId w:val="1"/>
              </w:numPr>
              <w:spacing w:after="60"/>
            </w:pPr>
            <w:r>
              <w:rPr>
                <w:rFonts w:ascii="Calibri" w:cs="Calibri" w:eastAsia="Calibri" w:hAnsi="Calibri"/>
                <w:color w:val="333333"/>
                <w:sz w:val="17"/>
                <w:szCs w:val="17"/>
              </w:rPr>
              <w:t xml:space="preserve">Gemini gaining ground in Google Workspace-centric organizations</w:t>
            </w:r>
          </w:p>
          <w:p>
            <w:pPr>
              <w:pStyle w:val="ListParagraph"/>
              <w:numPr>
                <w:ilvl w:val="0"/>
                <w:numId w:val="1"/>
              </w:numPr>
              <w:spacing w:after="60"/>
            </w:pPr>
            <w:r>
              <w:rPr>
                <w:rFonts w:ascii="Calibri" w:cs="Calibri" w:eastAsia="Calibri" w:hAnsi="Calibri"/>
                <w:color w:val="333333"/>
                <w:sz w:val="17"/>
                <w:szCs w:val="17"/>
              </w:rPr>
              <w:t xml:space="preserve">ChatGPT and Claude used by Microsoft employees internally</w:t>
            </w:r>
          </w:p>
          <w:p>
            <w:pPr>
              <w:pStyle w:val="ListParagraph"/>
              <w:numPr>
                <w:ilvl w:val="0"/>
                <w:numId w:val="1"/>
              </w:numPr>
              <w:spacing w:after="60"/>
            </w:pPr>
            <w:r>
              <w:rPr>
                <w:rFonts w:ascii="Calibri" w:cs="Calibri" w:eastAsia="Calibri" w:hAnsi="Calibri"/>
                <w:color w:val="333333"/>
                <w:sz w:val="17"/>
                <w:szCs w:val="17"/>
              </w:rPr>
              <w:t xml:space="preserve">CFO scepticism on ROI difficult to overcome at current pricing</w:t>
            </w:r>
          </w:p>
          <w:p>
            <w:pPr>
              <w:pStyle w:val="ListParagraph"/>
              <w:numPr>
                <w:ilvl w:val="0"/>
                <w:numId w:val="1"/>
              </w:numPr>
              <w:spacing w:after="60"/>
            </w:pPr>
            <w:r>
              <w:rPr>
                <w:rFonts w:ascii="Calibri" w:cs="Calibri" w:eastAsia="Calibri" w:hAnsi="Calibri"/>
                <w:color w:val="333333"/>
                <w:sz w:val="17"/>
                <w:szCs w:val="17"/>
              </w:rPr>
              <w:t xml:space="preserve">Open-source and lower-cost alternatives eroding enterprise justification</w:t>
            </w:r>
          </w:p>
        </w:tc>
      </w:tr>
    </w:tbl>
    <w:p>
      <w:pPr>
        <w:spacing w:after="160"/>
      </w:pPr>
      <w:r>
        <w:t xml:space="preserve"/>
      </w:r>
    </w:p>
    <w:p>
      <w:pPr>
        <w:pageBreakBefore/>
      </w:pPr>
      <w:r>
        <w:rPr>
          <w:sz w:val="20"/>
          <w:szCs w:val="20"/>
        </w:rPr>
        <w:t xml:space="preserve"/>
      </w:r>
    </w:p>
    <w:p>
      <w:pPr>
        <w:pStyle w:val="Heading1"/>
        <w:spacing w:before="320" w:after="120"/>
      </w:pPr>
      <w:r>
        <w:rPr>
          <w:rFonts w:ascii="Calibri" w:cs="Calibri" w:eastAsia="Calibri" w:hAnsi="Calibri"/>
          <w:b/>
          <w:bCs/>
          <w:color w:val="1F2B45"/>
          <w:sz w:val="36"/>
          <w:szCs w:val="36"/>
        </w:rPr>
        <w:t xml:space="preserve">4. Claude Opus 4.6</w:t>
      </w:r>
    </w:p>
    <w:p>
      <w:pPr>
        <w:spacing w:after="80"/>
      </w:pPr>
      <w:r>
        <w:rPr>
          <w:rFonts w:ascii="Calibri" w:cs="Calibri" w:eastAsia="Calibri" w:hAnsi="Calibri"/>
          <w:b/>
          <w:bCs/>
          <w:color w:val="C9A84C"/>
          <w:sz w:val="22"/>
          <w:szCs w:val="22"/>
        </w:rPr>
        <w:t xml:space="preserve">Anthropic</w:t>
      </w:r>
    </w:p>
    <w:p>
      <w:pPr>
        <w:spacing w:after="160"/>
      </w:pPr>
      <w:r>
        <w:rPr>
          <w:rFonts w:ascii="Calibri" w:cs="Calibri" w:eastAsia="Calibri" w:hAnsi="Calibri"/>
          <w:i/>
          <w:iCs/>
          <w:color w:val="595959"/>
          <w:sz w:val="18"/>
          <w:szCs w:val="18"/>
        </w:rPr>
        <w:t xml:space="preserve">Composite Score: 7.30 / 10  |  Rank: #4 of 10</w:t>
      </w:r>
    </w:p>
    <w:p>
      <w:pPr>
        <w:pBdr>
          <w:bottom w:val="single" w:color="C9A84C" w:sz="8"/>
        </w:pBd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A5D6A7" w:sz="4"/>
              <w:left w:val="single" w:color="A5D6A7" w:sz="4"/>
              <w:bottom w:val="single" w:color="A5D6A7" w:sz="4"/>
              <w:right w:val="single" w:color="A5D6A7" w:sz="4"/>
            </w:tcBorders>
            <w:shd w:fill="E8F5E9" w:val="clear"/>
            <w:tcMar>
              <w:top w:type="dxa" w:w="100"/>
              <w:left w:type="dxa" w:w="140"/>
              <w:bottom w:type="dxa" w:w="100"/>
              <w:right w:type="dxa" w:w="140"/>
            </w:tcMar>
          </w:tcPr>
          <w:p>
            <w:pPr>
              <w:spacing w:after="80"/>
            </w:pPr>
            <w:r>
              <w:rPr>
                <w:rFonts w:ascii="Calibri" w:cs="Calibri" w:eastAsia="Calibri" w:hAnsi="Calibri"/>
                <w:b/>
                <w:bCs/>
                <w:caps/>
                <w:color w:val="1B5E20"/>
                <w:sz w:val="18"/>
                <w:szCs w:val="18"/>
              </w:rPr>
              <w:t xml:space="preserve">Strengths</w:t>
            </w:r>
          </w:p>
          <w:p>
            <w:pPr>
              <w:pStyle w:val="ListParagraph"/>
              <w:numPr>
                <w:ilvl w:val="0"/>
                <w:numId w:val="1"/>
              </w:numPr>
              <w:spacing w:after="60"/>
            </w:pPr>
            <w:r>
              <w:rPr>
                <w:rFonts w:ascii="Calibri" w:cs="Calibri" w:eastAsia="Calibri" w:hAnsi="Calibri"/>
                <w:color w:val="333333"/>
                <w:sz w:val="17"/>
                <w:szCs w:val="17"/>
              </w:rPr>
              <w:t xml:space="preserve">Leads human-preference Elo leaderboards and top coding benchmarks (SWE-bench 80.8%)</w:t>
            </w:r>
          </w:p>
          <w:p>
            <w:pPr>
              <w:pStyle w:val="ListParagraph"/>
              <w:numPr>
                <w:ilvl w:val="0"/>
                <w:numId w:val="1"/>
              </w:numPr>
              <w:spacing w:after="60"/>
            </w:pPr>
            <w:r>
              <w:rPr>
                <w:rFonts w:ascii="Calibri" w:cs="Calibri" w:eastAsia="Calibri" w:hAnsi="Calibri"/>
                <w:color w:val="333333"/>
                <w:sz w:val="17"/>
                <w:szCs w:val="17"/>
              </w:rPr>
              <w:t xml:space="preserve">Strongest Constitutional AI safety and alignment profile</w:t>
            </w:r>
          </w:p>
          <w:p>
            <w:pPr>
              <w:pStyle w:val="ListParagraph"/>
              <w:numPr>
                <w:ilvl w:val="0"/>
                <w:numId w:val="1"/>
              </w:numPr>
              <w:spacing w:after="60"/>
            </w:pPr>
            <w:r>
              <w:rPr>
                <w:rFonts w:ascii="Calibri" w:cs="Calibri" w:eastAsia="Calibri" w:hAnsi="Calibri"/>
                <w:color w:val="333333"/>
                <w:sz w:val="17"/>
                <w:szCs w:val="17"/>
              </w:rPr>
              <w:t xml:space="preserve">Best-in-class long-context and agentic task handling</w:t>
            </w:r>
          </w:p>
          <w:p>
            <w:pPr>
              <w:pStyle w:val="ListParagraph"/>
              <w:numPr>
                <w:ilvl w:val="0"/>
                <w:numId w:val="1"/>
              </w:numPr>
              <w:spacing w:after="60"/>
            </w:pPr>
            <w:r>
              <w:rPr>
                <w:rFonts w:ascii="Calibri" w:cs="Calibri" w:eastAsia="Calibri" w:hAnsi="Calibri"/>
                <w:color w:val="333333"/>
                <w:sz w:val="17"/>
                <w:szCs w:val="17"/>
              </w:rPr>
              <w:t xml:space="preserve">Preferred by developers for complex reasoning and legal/financial tasks</w:t>
            </w:r>
          </w:p>
        </w:tc>
        <w:tc>
          <w:tcPr>
            <w:tcW w:type="dxa" w:w="4680"/>
            <w:tcBorders>
              <w:top w:val="single" w:color="EF9A9A" w:sz="4"/>
              <w:left w:val="single" w:color="EF9A9A" w:sz="4"/>
              <w:bottom w:val="single" w:color="EF9A9A" w:sz="4"/>
              <w:right w:val="single" w:color="EF9A9A" w:sz="4"/>
            </w:tcBorders>
            <w:shd w:fill="FFEBEE" w:val="clear"/>
            <w:tcMar>
              <w:top w:type="dxa" w:w="100"/>
              <w:left w:type="dxa" w:w="140"/>
              <w:bottom w:type="dxa" w:w="100"/>
              <w:right w:type="dxa" w:w="140"/>
            </w:tcMar>
          </w:tcPr>
          <w:p>
            <w:pPr>
              <w:spacing w:after="80"/>
            </w:pPr>
            <w:r>
              <w:rPr>
                <w:rFonts w:ascii="Calibri" w:cs="Calibri" w:eastAsia="Calibri" w:hAnsi="Calibri"/>
                <w:b/>
                <w:bCs/>
                <w:caps/>
                <w:color w:val="B71C1C"/>
                <w:sz w:val="18"/>
                <w:szCs w:val="18"/>
              </w:rPr>
              <w:t xml:space="preserve">Weaknesses</w:t>
            </w:r>
          </w:p>
          <w:p>
            <w:pPr>
              <w:pStyle w:val="ListParagraph"/>
              <w:numPr>
                <w:ilvl w:val="0"/>
                <w:numId w:val="1"/>
              </w:numPr>
              <w:spacing w:after="60"/>
            </w:pPr>
            <w:r>
              <w:rPr>
                <w:rFonts w:ascii="Calibri" w:cs="Calibri" w:eastAsia="Calibri" w:hAnsi="Calibri"/>
                <w:color w:val="333333"/>
                <w:sz w:val="17"/>
                <w:szCs w:val="17"/>
              </w:rPr>
              <w:t xml:space="preserve">Premium pricing limits broad adoption ($5/$25 per 1M tokens)</w:t>
            </w:r>
          </w:p>
          <w:p>
            <w:pPr>
              <w:pStyle w:val="ListParagraph"/>
              <w:numPr>
                <w:ilvl w:val="0"/>
                <w:numId w:val="1"/>
              </w:numPr>
              <w:spacing w:after="60"/>
            </w:pPr>
            <w:r>
              <w:rPr>
                <w:rFonts w:ascii="Calibri" w:cs="Calibri" w:eastAsia="Calibri" w:hAnsi="Calibri"/>
                <w:color w:val="333333"/>
                <w:sz w:val="17"/>
                <w:szCs w:val="17"/>
              </w:rPr>
              <w:t xml:space="preserve">Slower output speed vs smaller/cheaper models</w:t>
            </w:r>
          </w:p>
          <w:p>
            <w:pPr>
              <w:pStyle w:val="ListParagraph"/>
              <w:numPr>
                <w:ilvl w:val="0"/>
                <w:numId w:val="1"/>
              </w:numPr>
              <w:spacing w:after="60"/>
            </w:pPr>
            <w:r>
              <w:rPr>
                <w:rFonts w:ascii="Calibri" w:cs="Calibri" w:eastAsia="Calibri" w:hAnsi="Calibri"/>
                <w:color w:val="333333"/>
                <w:sz w:val="17"/>
                <w:szCs w:val="17"/>
              </w:rPr>
              <w:t xml:space="preserve">More conservative on edge-case creative requests</w:t>
            </w:r>
          </w:p>
          <w:p>
            <w:pPr>
              <w:pStyle w:val="ListParagraph"/>
              <w:numPr>
                <w:ilvl w:val="0"/>
                <w:numId w:val="1"/>
              </w:numPr>
              <w:spacing w:after="60"/>
            </w:pPr>
            <w:r>
              <w:rPr>
                <w:rFonts w:ascii="Calibri" w:cs="Calibri" w:eastAsia="Calibri" w:hAnsi="Calibri"/>
                <w:color w:val="333333"/>
                <w:sz w:val="17"/>
                <w:szCs w:val="17"/>
              </w:rPr>
              <w:t xml:space="preserve">Smaller consumer brand vs ChatGPT</w:t>
            </w:r>
          </w:p>
        </w:tc>
      </w:tr>
      <w:tr>
        <w:tc>
          <w:tcPr>
            <w:tcW w:type="dxa" w:w="4680"/>
            <w:tcBorders>
              <w:top w:val="single" w:color="90CAF9" w:sz="4"/>
              <w:left w:val="single" w:color="90CAF9" w:sz="4"/>
              <w:bottom w:val="single" w:color="90CAF9" w:sz="4"/>
              <w:right w:val="single" w:color="90CAF9" w:sz="4"/>
            </w:tcBorders>
            <w:shd w:fill="E3F2FD" w:val="clear"/>
            <w:tcMar>
              <w:top w:type="dxa" w:w="100"/>
              <w:left w:type="dxa" w:w="140"/>
              <w:bottom w:type="dxa" w:w="100"/>
              <w:right w:type="dxa" w:w="140"/>
            </w:tcMar>
          </w:tcPr>
          <w:p>
            <w:pPr>
              <w:spacing w:after="80"/>
            </w:pPr>
            <w:r>
              <w:rPr>
                <w:rFonts w:ascii="Calibri" w:cs="Calibri" w:eastAsia="Calibri" w:hAnsi="Calibri"/>
                <w:b/>
                <w:bCs/>
                <w:caps/>
                <w:color w:val="0D47A1"/>
                <w:sz w:val="18"/>
                <w:szCs w:val="18"/>
              </w:rPr>
              <w:t xml:space="preserve">Opportunities</w:t>
            </w:r>
          </w:p>
          <w:p>
            <w:pPr>
              <w:pStyle w:val="ListParagraph"/>
              <w:numPr>
                <w:ilvl w:val="0"/>
                <w:numId w:val="1"/>
              </w:numPr>
              <w:spacing w:after="60"/>
            </w:pPr>
            <w:r>
              <w:rPr>
                <w:rFonts w:ascii="Calibri" w:cs="Calibri" w:eastAsia="Calibri" w:hAnsi="Calibri"/>
                <w:color w:val="333333"/>
                <w:sz w:val="17"/>
                <w:szCs w:val="17"/>
              </w:rPr>
              <w:t xml:space="preserve">Enterprise demand for safety-first AI growing rapidly with regulation</w:t>
            </w:r>
          </w:p>
          <w:p>
            <w:pPr>
              <w:pStyle w:val="ListParagraph"/>
              <w:numPr>
                <w:ilvl w:val="0"/>
                <w:numId w:val="1"/>
              </w:numPr>
              <w:spacing w:after="60"/>
            </w:pPr>
            <w:r>
              <w:rPr>
                <w:rFonts w:ascii="Calibri" w:cs="Calibri" w:eastAsia="Calibri" w:hAnsi="Calibri"/>
                <w:color w:val="333333"/>
                <w:sz w:val="17"/>
                <w:szCs w:val="17"/>
              </w:rPr>
              <w:t xml:space="preserve">Claude Code and agentic tooling adoption accelerating</w:t>
            </w:r>
          </w:p>
          <w:p>
            <w:pPr>
              <w:pStyle w:val="ListParagraph"/>
              <w:numPr>
                <w:ilvl w:val="0"/>
                <w:numId w:val="1"/>
              </w:numPr>
              <w:spacing w:after="60"/>
            </w:pPr>
            <w:r>
              <w:rPr>
                <w:rFonts w:ascii="Calibri" w:cs="Calibri" w:eastAsia="Calibri" w:hAnsi="Calibri"/>
                <w:color w:val="333333"/>
                <w:sz w:val="17"/>
                <w:szCs w:val="17"/>
              </w:rPr>
              <w:t xml:space="preserve">Memory and personalisation features expanding enterprise reach</w:t>
            </w:r>
          </w:p>
          <w:p>
            <w:pPr>
              <w:pStyle w:val="ListParagraph"/>
              <w:numPr>
                <w:ilvl w:val="0"/>
                <w:numId w:val="1"/>
              </w:numPr>
              <w:spacing w:after="60"/>
            </w:pPr>
            <w:r>
              <w:rPr>
                <w:rFonts w:ascii="Calibri" w:cs="Calibri" w:eastAsia="Calibri" w:hAnsi="Calibri"/>
                <w:color w:val="333333"/>
                <w:sz w:val="17"/>
                <w:szCs w:val="17"/>
              </w:rPr>
              <w:t xml:space="preserve">Regulated-sector partnerships (finance, healthcare, legal) emerging</w:t>
            </w:r>
          </w:p>
        </w:tc>
        <w:tc>
          <w:tcPr>
            <w:tcW w:type="dxa" w:w="4680"/>
            <w:tcBorders>
              <w:top w:val="single" w:color="FFE082" w:sz="4"/>
              <w:left w:val="single" w:color="FFE082" w:sz="4"/>
              <w:bottom w:val="single" w:color="FFE082" w:sz="4"/>
              <w:right w:val="single" w:color="FFE082" w:sz="4"/>
            </w:tcBorders>
            <w:shd w:fill="FFF8E1" w:val="clear"/>
            <w:tcMar>
              <w:top w:type="dxa" w:w="100"/>
              <w:left w:type="dxa" w:w="140"/>
              <w:bottom w:type="dxa" w:w="100"/>
              <w:right w:type="dxa" w:w="140"/>
            </w:tcMar>
          </w:tcPr>
          <w:p>
            <w:pPr>
              <w:spacing w:after="80"/>
            </w:pPr>
            <w:r>
              <w:rPr>
                <w:rFonts w:ascii="Calibri" w:cs="Calibri" w:eastAsia="Calibri" w:hAnsi="Calibri"/>
                <w:b/>
                <w:bCs/>
                <w:caps/>
                <w:color w:val="E65100"/>
                <w:sz w:val="18"/>
                <w:szCs w:val="18"/>
              </w:rPr>
              <w:t xml:space="preserve">Threats</w:t>
            </w:r>
          </w:p>
          <w:p>
            <w:pPr>
              <w:pStyle w:val="ListParagraph"/>
              <w:numPr>
                <w:ilvl w:val="0"/>
                <w:numId w:val="1"/>
              </w:numPr>
              <w:spacing w:after="60"/>
            </w:pPr>
            <w:r>
              <w:rPr>
                <w:rFonts w:ascii="Calibri" w:cs="Calibri" w:eastAsia="Calibri" w:hAnsi="Calibri"/>
                <w:color w:val="333333"/>
                <w:sz w:val="17"/>
                <w:szCs w:val="17"/>
              </w:rPr>
              <w:t xml:space="preserve">Gemini 3.1 Pro closing benchmark gaps at much lower cost</w:t>
            </w:r>
          </w:p>
          <w:p>
            <w:pPr>
              <w:pStyle w:val="ListParagraph"/>
              <w:numPr>
                <w:ilvl w:val="0"/>
                <w:numId w:val="1"/>
              </w:numPr>
              <w:spacing w:after="60"/>
            </w:pPr>
            <w:r>
              <w:rPr>
                <w:rFonts w:ascii="Calibri" w:cs="Calibri" w:eastAsia="Calibri" w:hAnsi="Calibri"/>
                <w:color w:val="333333"/>
                <w:sz w:val="17"/>
                <w:szCs w:val="17"/>
              </w:rPr>
              <w:t xml:space="preserve">GPT-5.4 holds dominant developer and consumer mindshare</w:t>
            </w:r>
          </w:p>
          <w:p>
            <w:pPr>
              <w:pStyle w:val="ListParagraph"/>
              <w:numPr>
                <w:ilvl w:val="0"/>
                <w:numId w:val="1"/>
              </w:numPr>
              <w:spacing w:after="60"/>
            </w:pPr>
            <w:r>
              <w:rPr>
                <w:rFonts w:ascii="Calibri" w:cs="Calibri" w:eastAsia="Calibri" w:hAnsi="Calibri"/>
                <w:color w:val="333333"/>
                <w:sz w:val="17"/>
                <w:szCs w:val="17"/>
              </w:rPr>
              <w:t xml:space="preserve">Open-source models undercutting significantly on price</w:t>
            </w:r>
          </w:p>
          <w:p>
            <w:pPr>
              <w:pStyle w:val="ListParagraph"/>
              <w:numPr>
                <w:ilvl w:val="0"/>
                <w:numId w:val="1"/>
              </w:numPr>
              <w:spacing w:after="60"/>
            </w:pPr>
            <w:r>
              <w:rPr>
                <w:rFonts w:ascii="Calibri" w:cs="Calibri" w:eastAsia="Calibri" w:hAnsi="Calibri"/>
                <w:color w:val="333333"/>
                <w:sz w:val="17"/>
                <w:szCs w:val="17"/>
              </w:rPr>
              <w:t xml:space="preserve">Claude Sonnet 4.6 cannibalising Opus at lower price point</w:t>
            </w:r>
          </w:p>
        </w:tc>
      </w:tr>
    </w:tbl>
    <w:p>
      <w:pPr>
        <w:spacing w:after="160"/>
      </w:pPr>
      <w:r>
        <w:t xml:space="preserve"/>
      </w:r>
    </w:p>
    <w:p>
      <w:pPr>
        <w:pageBreakBefore/>
      </w:pPr>
      <w:r>
        <w:rPr>
          <w:sz w:val="20"/>
          <w:szCs w:val="20"/>
        </w:rPr>
        <w:t xml:space="preserve"/>
      </w:r>
    </w:p>
    <w:p>
      <w:pPr>
        <w:pStyle w:val="Heading1"/>
        <w:spacing w:before="320" w:after="120"/>
      </w:pPr>
      <w:r>
        <w:rPr>
          <w:rFonts w:ascii="Calibri" w:cs="Calibri" w:eastAsia="Calibri" w:hAnsi="Calibri"/>
          <w:b/>
          <w:bCs/>
          <w:color w:val="1F2B45"/>
          <w:sz w:val="36"/>
          <w:szCs w:val="36"/>
        </w:rPr>
        <w:t xml:space="preserve">5. Llama 4 Maverick</w:t>
      </w:r>
    </w:p>
    <w:p>
      <w:pPr>
        <w:spacing w:after="80"/>
      </w:pPr>
      <w:r>
        <w:rPr>
          <w:rFonts w:ascii="Calibri" w:cs="Calibri" w:eastAsia="Calibri" w:hAnsi="Calibri"/>
          <w:b/>
          <w:bCs/>
          <w:color w:val="C9A84C"/>
          <w:sz w:val="22"/>
          <w:szCs w:val="22"/>
        </w:rPr>
        <w:t xml:space="preserve">Meta</w:t>
      </w:r>
    </w:p>
    <w:p>
      <w:pPr>
        <w:spacing w:after="160"/>
      </w:pPr>
      <w:r>
        <w:rPr>
          <w:rFonts w:ascii="Calibri" w:cs="Calibri" w:eastAsia="Calibri" w:hAnsi="Calibri"/>
          <w:i/>
          <w:iCs/>
          <w:color w:val="595959"/>
          <w:sz w:val="18"/>
          <w:szCs w:val="18"/>
        </w:rPr>
        <w:t xml:space="preserve">Composite Score: 7.15 / 10  |  Rank: #5 of 10</w:t>
      </w:r>
    </w:p>
    <w:p>
      <w:pPr>
        <w:pBdr>
          <w:bottom w:val="single" w:color="C9A84C" w:sz="8"/>
        </w:pBd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A5D6A7" w:sz="4"/>
              <w:left w:val="single" w:color="A5D6A7" w:sz="4"/>
              <w:bottom w:val="single" w:color="A5D6A7" w:sz="4"/>
              <w:right w:val="single" w:color="A5D6A7" w:sz="4"/>
            </w:tcBorders>
            <w:shd w:fill="E8F5E9" w:val="clear"/>
            <w:tcMar>
              <w:top w:type="dxa" w:w="100"/>
              <w:left w:type="dxa" w:w="140"/>
              <w:bottom w:type="dxa" w:w="100"/>
              <w:right w:type="dxa" w:w="140"/>
            </w:tcMar>
          </w:tcPr>
          <w:p>
            <w:pPr>
              <w:spacing w:after="80"/>
            </w:pPr>
            <w:r>
              <w:rPr>
                <w:rFonts w:ascii="Calibri" w:cs="Calibri" w:eastAsia="Calibri" w:hAnsi="Calibri"/>
                <w:b/>
                <w:bCs/>
                <w:caps/>
                <w:color w:val="1B5E20"/>
                <w:sz w:val="18"/>
                <w:szCs w:val="18"/>
              </w:rPr>
              <w:t xml:space="preserve">Strengths</w:t>
            </w:r>
          </w:p>
          <w:p>
            <w:pPr>
              <w:pStyle w:val="ListParagraph"/>
              <w:numPr>
                <w:ilvl w:val="0"/>
                <w:numId w:val="1"/>
              </w:numPr>
              <w:spacing w:after="60"/>
            </w:pPr>
            <w:r>
              <w:rPr>
                <w:rFonts w:ascii="Calibri" w:cs="Calibri" w:eastAsia="Calibri" w:hAnsi="Calibri"/>
                <w:color w:val="333333"/>
                <w:sz w:val="17"/>
                <w:szCs w:val="17"/>
              </w:rPr>
              <w:t xml:space="preserve">Leading open-weight model enabling private, sovereign deployment</w:t>
            </w:r>
          </w:p>
          <w:p>
            <w:pPr>
              <w:pStyle w:val="ListParagraph"/>
              <w:numPr>
                <w:ilvl w:val="0"/>
                <w:numId w:val="1"/>
              </w:numPr>
              <w:spacing w:after="60"/>
            </w:pPr>
            <w:r>
              <w:rPr>
                <w:rFonts w:ascii="Calibri" w:cs="Calibri" w:eastAsia="Calibri" w:hAnsi="Calibri"/>
                <w:color w:val="333333"/>
                <w:sz w:val="17"/>
                <w:szCs w:val="17"/>
              </w:rPr>
              <w:t xml:space="preserve">Meta's massive social platform distribution (WhatsApp, Instagram, Facebook)</w:t>
            </w:r>
          </w:p>
          <w:p>
            <w:pPr>
              <w:pStyle w:val="ListParagraph"/>
              <w:numPr>
                <w:ilvl w:val="0"/>
                <w:numId w:val="1"/>
              </w:numPr>
              <w:spacing w:after="60"/>
            </w:pPr>
            <w:r>
              <w:rPr>
                <w:rFonts w:ascii="Calibri" w:cs="Calibri" w:eastAsia="Calibri" w:hAnsi="Calibri"/>
                <w:color w:val="333333"/>
                <w:sz w:val="17"/>
                <w:szCs w:val="17"/>
              </w:rPr>
              <w:t xml:space="preserve">Strong developer community and fine-tuning ecosystem</w:t>
            </w:r>
          </w:p>
          <w:p>
            <w:pPr>
              <w:pStyle w:val="ListParagraph"/>
              <w:numPr>
                <w:ilvl w:val="0"/>
                <w:numId w:val="1"/>
              </w:numPr>
              <w:spacing w:after="60"/>
            </w:pPr>
            <w:r>
              <w:rPr>
                <w:rFonts w:ascii="Calibri" w:cs="Calibri" w:eastAsia="Calibri" w:hAnsi="Calibri"/>
                <w:color w:val="333333"/>
                <w:sz w:val="17"/>
                <w:szCs w:val="17"/>
              </w:rPr>
              <w:t xml:space="preserve">Competitive benchmark performance at zero licensing cost</w:t>
            </w:r>
          </w:p>
        </w:tc>
        <w:tc>
          <w:tcPr>
            <w:tcW w:type="dxa" w:w="4680"/>
            <w:tcBorders>
              <w:top w:val="single" w:color="EF9A9A" w:sz="4"/>
              <w:left w:val="single" w:color="EF9A9A" w:sz="4"/>
              <w:bottom w:val="single" w:color="EF9A9A" w:sz="4"/>
              <w:right w:val="single" w:color="EF9A9A" w:sz="4"/>
            </w:tcBorders>
            <w:shd w:fill="FFEBEE" w:val="clear"/>
            <w:tcMar>
              <w:top w:type="dxa" w:w="100"/>
              <w:left w:type="dxa" w:w="140"/>
              <w:bottom w:type="dxa" w:w="100"/>
              <w:right w:type="dxa" w:w="140"/>
            </w:tcMar>
          </w:tcPr>
          <w:p>
            <w:pPr>
              <w:spacing w:after="80"/>
            </w:pPr>
            <w:r>
              <w:rPr>
                <w:rFonts w:ascii="Calibri" w:cs="Calibri" w:eastAsia="Calibri" w:hAnsi="Calibri"/>
                <w:b/>
                <w:bCs/>
                <w:caps/>
                <w:color w:val="B71C1C"/>
                <w:sz w:val="18"/>
                <w:szCs w:val="18"/>
              </w:rPr>
              <w:t xml:space="preserve">Weaknesses</w:t>
            </w:r>
          </w:p>
          <w:p>
            <w:pPr>
              <w:pStyle w:val="ListParagraph"/>
              <w:numPr>
                <w:ilvl w:val="0"/>
                <w:numId w:val="1"/>
              </w:numPr>
              <w:spacing w:after="60"/>
            </w:pPr>
            <w:r>
              <w:rPr>
                <w:rFonts w:ascii="Calibri" w:cs="Calibri" w:eastAsia="Calibri" w:hAnsi="Calibri"/>
                <w:color w:val="333333"/>
                <w:sz w:val="17"/>
                <w:szCs w:val="17"/>
              </w:rPr>
              <w:t xml:space="preserve">Enterprise-grade safety tooling and guardrails still maturing</w:t>
            </w:r>
          </w:p>
          <w:p>
            <w:pPr>
              <w:pStyle w:val="ListParagraph"/>
              <w:numPr>
                <w:ilvl w:val="0"/>
                <w:numId w:val="1"/>
              </w:numPr>
              <w:spacing w:after="60"/>
            </w:pPr>
            <w:r>
              <w:rPr>
                <w:rFonts w:ascii="Calibri" w:cs="Calibri" w:eastAsia="Calibri" w:hAnsi="Calibri"/>
                <w:color w:val="333333"/>
                <w:sz w:val="17"/>
                <w:szCs w:val="17"/>
              </w:rPr>
              <w:t xml:space="preserve">No direct commercial revenue model for open-weight models</w:t>
            </w:r>
          </w:p>
          <w:p>
            <w:pPr>
              <w:pStyle w:val="ListParagraph"/>
              <w:numPr>
                <w:ilvl w:val="0"/>
                <w:numId w:val="1"/>
              </w:numPr>
              <w:spacing w:after="60"/>
            </w:pPr>
            <w:r>
              <w:rPr>
                <w:rFonts w:ascii="Calibri" w:cs="Calibri" w:eastAsia="Calibri" w:hAnsi="Calibri"/>
                <w:color w:val="333333"/>
                <w:sz w:val="17"/>
                <w:szCs w:val="17"/>
              </w:rPr>
              <w:t xml:space="preserve">Reputational risk from open-weight misuse cases</w:t>
            </w:r>
          </w:p>
          <w:p>
            <w:pPr>
              <w:pStyle w:val="ListParagraph"/>
              <w:numPr>
                <w:ilvl w:val="0"/>
                <w:numId w:val="1"/>
              </w:numPr>
              <w:spacing w:after="60"/>
            </w:pPr>
            <w:r>
              <w:rPr>
                <w:rFonts w:ascii="Calibri" w:cs="Calibri" w:eastAsia="Calibri" w:hAnsi="Calibri"/>
                <w:color w:val="333333"/>
                <w:sz w:val="17"/>
                <w:szCs w:val="17"/>
              </w:rPr>
              <w:t xml:space="preserve">Limited enterprise support and SLA commitments</w:t>
            </w:r>
          </w:p>
        </w:tc>
      </w:tr>
      <w:tr>
        <w:tc>
          <w:tcPr>
            <w:tcW w:type="dxa" w:w="4680"/>
            <w:tcBorders>
              <w:top w:val="single" w:color="90CAF9" w:sz="4"/>
              <w:left w:val="single" w:color="90CAF9" w:sz="4"/>
              <w:bottom w:val="single" w:color="90CAF9" w:sz="4"/>
              <w:right w:val="single" w:color="90CAF9" w:sz="4"/>
            </w:tcBorders>
            <w:shd w:fill="E3F2FD" w:val="clear"/>
            <w:tcMar>
              <w:top w:type="dxa" w:w="100"/>
              <w:left w:type="dxa" w:w="140"/>
              <w:bottom w:type="dxa" w:w="100"/>
              <w:right w:type="dxa" w:w="140"/>
            </w:tcMar>
          </w:tcPr>
          <w:p>
            <w:pPr>
              <w:spacing w:after="80"/>
            </w:pPr>
            <w:r>
              <w:rPr>
                <w:rFonts w:ascii="Calibri" w:cs="Calibri" w:eastAsia="Calibri" w:hAnsi="Calibri"/>
                <w:b/>
                <w:bCs/>
                <w:caps/>
                <w:color w:val="0D47A1"/>
                <w:sz w:val="18"/>
                <w:szCs w:val="18"/>
              </w:rPr>
              <w:t xml:space="preserve">Opportunities</w:t>
            </w:r>
          </w:p>
          <w:p>
            <w:pPr>
              <w:pStyle w:val="ListParagraph"/>
              <w:numPr>
                <w:ilvl w:val="0"/>
                <w:numId w:val="1"/>
              </w:numPr>
              <w:spacing w:after="60"/>
            </w:pPr>
            <w:r>
              <w:rPr>
                <w:rFonts w:ascii="Calibri" w:cs="Calibri" w:eastAsia="Calibri" w:hAnsi="Calibri"/>
                <w:color w:val="333333"/>
                <w:sz w:val="17"/>
                <w:szCs w:val="17"/>
              </w:rPr>
              <w:t xml:space="preserve">Global AI democratisation wave in price-sensitive markets</w:t>
            </w:r>
          </w:p>
          <w:p>
            <w:pPr>
              <w:pStyle w:val="ListParagraph"/>
              <w:numPr>
                <w:ilvl w:val="0"/>
                <w:numId w:val="1"/>
              </w:numPr>
              <w:spacing w:after="60"/>
            </w:pPr>
            <w:r>
              <w:rPr>
                <w:rFonts w:ascii="Calibri" w:cs="Calibri" w:eastAsia="Calibri" w:hAnsi="Calibri"/>
                <w:color w:val="333333"/>
                <w:sz w:val="17"/>
                <w:szCs w:val="17"/>
              </w:rPr>
              <w:t xml:space="preserve">Governments and regulated sectors seeking non-US-cloud AI options</w:t>
            </w:r>
          </w:p>
          <w:p>
            <w:pPr>
              <w:pStyle w:val="ListParagraph"/>
              <w:numPr>
                <w:ilvl w:val="0"/>
                <w:numId w:val="1"/>
              </w:numPr>
              <w:spacing w:after="60"/>
            </w:pPr>
            <w:r>
              <w:rPr>
                <w:rFonts w:ascii="Calibri" w:cs="Calibri" w:eastAsia="Calibri" w:hAnsi="Calibri"/>
                <w:color w:val="333333"/>
                <w:sz w:val="17"/>
                <w:szCs w:val="17"/>
              </w:rPr>
              <w:t xml:space="preserve">Cloud providers monetising Llama fine-tuning and deployment services</w:t>
            </w:r>
          </w:p>
          <w:p>
            <w:pPr>
              <w:pStyle w:val="ListParagraph"/>
              <w:numPr>
                <w:ilvl w:val="0"/>
                <w:numId w:val="1"/>
              </w:numPr>
              <w:spacing w:after="60"/>
            </w:pPr>
            <w:r>
              <w:rPr>
                <w:rFonts w:ascii="Calibri" w:cs="Calibri" w:eastAsia="Calibri" w:hAnsi="Calibri"/>
                <w:color w:val="333333"/>
                <w:sz w:val="17"/>
                <w:szCs w:val="17"/>
              </w:rPr>
              <w:t xml:space="preserve">Growing enterprise demand for private on-premises AI deployment</w:t>
            </w:r>
          </w:p>
        </w:tc>
        <w:tc>
          <w:tcPr>
            <w:tcW w:type="dxa" w:w="4680"/>
            <w:tcBorders>
              <w:top w:val="single" w:color="FFE082" w:sz="4"/>
              <w:left w:val="single" w:color="FFE082" w:sz="4"/>
              <w:bottom w:val="single" w:color="FFE082" w:sz="4"/>
              <w:right w:val="single" w:color="FFE082" w:sz="4"/>
            </w:tcBorders>
            <w:shd w:fill="FFF8E1" w:val="clear"/>
            <w:tcMar>
              <w:top w:type="dxa" w:w="100"/>
              <w:left w:type="dxa" w:w="140"/>
              <w:bottom w:type="dxa" w:w="100"/>
              <w:right w:type="dxa" w:w="140"/>
            </w:tcMar>
          </w:tcPr>
          <w:p>
            <w:pPr>
              <w:spacing w:after="80"/>
            </w:pPr>
            <w:r>
              <w:rPr>
                <w:rFonts w:ascii="Calibri" w:cs="Calibri" w:eastAsia="Calibri" w:hAnsi="Calibri"/>
                <w:b/>
                <w:bCs/>
                <w:caps/>
                <w:color w:val="E65100"/>
                <w:sz w:val="18"/>
                <w:szCs w:val="18"/>
              </w:rPr>
              <w:t xml:space="preserve">Threats</w:t>
            </w:r>
          </w:p>
          <w:p>
            <w:pPr>
              <w:pStyle w:val="ListParagraph"/>
              <w:numPr>
                <w:ilvl w:val="0"/>
                <w:numId w:val="1"/>
              </w:numPr>
              <w:spacing w:after="60"/>
            </w:pPr>
            <w:r>
              <w:rPr>
                <w:rFonts w:ascii="Calibri" w:cs="Calibri" w:eastAsia="Calibri" w:hAnsi="Calibri"/>
                <w:color w:val="333333"/>
                <w:sz w:val="17"/>
                <w:szCs w:val="17"/>
              </w:rPr>
              <w:t xml:space="preserve">DeepSeek competing directly in open-source tier at lower cost</w:t>
            </w:r>
          </w:p>
          <w:p>
            <w:pPr>
              <w:pStyle w:val="ListParagraph"/>
              <w:numPr>
                <w:ilvl w:val="0"/>
                <w:numId w:val="1"/>
              </w:numPr>
              <w:spacing w:after="60"/>
            </w:pPr>
            <w:r>
              <w:rPr>
                <w:rFonts w:ascii="Calibri" w:cs="Calibri" w:eastAsia="Calibri" w:hAnsi="Calibri"/>
                <w:color w:val="333333"/>
                <w:sz w:val="17"/>
                <w:szCs w:val="17"/>
              </w:rPr>
              <w:t xml:space="preserve">Regulatory risk from open-weight misuse could trigger restrictions</w:t>
            </w:r>
          </w:p>
          <w:p>
            <w:pPr>
              <w:pStyle w:val="ListParagraph"/>
              <w:numPr>
                <w:ilvl w:val="0"/>
                <w:numId w:val="1"/>
              </w:numPr>
              <w:spacing w:after="60"/>
            </w:pPr>
            <w:r>
              <w:rPr>
                <w:rFonts w:ascii="Calibri" w:cs="Calibri" w:eastAsia="Calibri" w:hAnsi="Calibri"/>
                <w:color w:val="333333"/>
                <w:sz w:val="17"/>
                <w:szCs w:val="17"/>
              </w:rPr>
              <w:t xml:space="preserve">Western enterprise caution toward open models in regulated sectors</w:t>
            </w:r>
          </w:p>
          <w:p>
            <w:pPr>
              <w:pStyle w:val="ListParagraph"/>
              <w:numPr>
                <w:ilvl w:val="0"/>
                <w:numId w:val="1"/>
              </w:numPr>
              <w:spacing w:after="60"/>
            </w:pPr>
            <w:r>
              <w:rPr>
                <w:rFonts w:ascii="Calibri" w:cs="Calibri" w:eastAsia="Calibri" w:hAnsi="Calibri"/>
                <w:color w:val="333333"/>
                <w:sz w:val="17"/>
                <w:szCs w:val="17"/>
              </w:rPr>
              <w:t xml:space="preserve">Kimi K2 and Qwen3 closing open-source benchmark gap</w:t>
            </w:r>
          </w:p>
        </w:tc>
      </w:tr>
    </w:tbl>
    <w:p>
      <w:pPr>
        <w:spacing w:after="160"/>
      </w:pPr>
      <w:r>
        <w:t xml:space="preserve"/>
      </w:r>
    </w:p>
    <w:p>
      <w:pPr>
        <w:pageBreakBefore/>
      </w:pPr>
      <w:r>
        <w:rPr>
          <w:sz w:val="20"/>
          <w:szCs w:val="20"/>
        </w:rPr>
        <w:t xml:space="preserve"/>
      </w:r>
    </w:p>
    <w:p>
      <w:pPr>
        <w:pStyle w:val="Heading1"/>
        <w:spacing w:before="320" w:after="120"/>
      </w:pPr>
      <w:r>
        <w:rPr>
          <w:rFonts w:ascii="Calibri" w:cs="Calibri" w:eastAsia="Calibri" w:hAnsi="Calibri"/>
          <w:b/>
          <w:bCs/>
          <w:color w:val="1F2B45"/>
          <w:sz w:val="36"/>
          <w:szCs w:val="36"/>
        </w:rPr>
        <w:t xml:space="preserve">6. Grok 4.1</w:t>
      </w:r>
    </w:p>
    <w:p>
      <w:pPr>
        <w:spacing w:after="80"/>
      </w:pPr>
      <w:r>
        <w:rPr>
          <w:rFonts w:ascii="Calibri" w:cs="Calibri" w:eastAsia="Calibri" w:hAnsi="Calibri"/>
          <w:b/>
          <w:bCs/>
          <w:color w:val="C9A84C"/>
          <w:sz w:val="22"/>
          <w:szCs w:val="22"/>
        </w:rPr>
        <w:t xml:space="preserve">xAI</w:t>
      </w:r>
    </w:p>
    <w:p>
      <w:pPr>
        <w:spacing w:after="160"/>
      </w:pPr>
      <w:r>
        <w:rPr>
          <w:rFonts w:ascii="Calibri" w:cs="Calibri" w:eastAsia="Calibri" w:hAnsi="Calibri"/>
          <w:i/>
          <w:iCs/>
          <w:color w:val="595959"/>
          <w:sz w:val="18"/>
          <w:szCs w:val="18"/>
        </w:rPr>
        <w:t xml:space="preserve">Composite Score: 6.00 / 10  |  Rank: #6 of 10</w:t>
      </w:r>
    </w:p>
    <w:p>
      <w:pPr>
        <w:pBdr>
          <w:bottom w:val="single" w:color="C9A84C" w:sz="8"/>
        </w:pBd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A5D6A7" w:sz="4"/>
              <w:left w:val="single" w:color="A5D6A7" w:sz="4"/>
              <w:bottom w:val="single" w:color="A5D6A7" w:sz="4"/>
              <w:right w:val="single" w:color="A5D6A7" w:sz="4"/>
            </w:tcBorders>
            <w:shd w:fill="E8F5E9" w:val="clear"/>
            <w:tcMar>
              <w:top w:type="dxa" w:w="100"/>
              <w:left w:type="dxa" w:w="140"/>
              <w:bottom w:type="dxa" w:w="100"/>
              <w:right w:type="dxa" w:w="140"/>
            </w:tcMar>
          </w:tcPr>
          <w:p>
            <w:pPr>
              <w:spacing w:after="80"/>
            </w:pPr>
            <w:r>
              <w:rPr>
                <w:rFonts w:ascii="Calibri" w:cs="Calibri" w:eastAsia="Calibri" w:hAnsi="Calibri"/>
                <w:b/>
                <w:bCs/>
                <w:caps/>
                <w:color w:val="1B5E20"/>
                <w:sz w:val="18"/>
                <w:szCs w:val="18"/>
              </w:rPr>
              <w:t xml:space="preserve">Strengths</w:t>
            </w:r>
          </w:p>
          <w:p>
            <w:pPr>
              <w:pStyle w:val="ListParagraph"/>
              <w:numPr>
                <w:ilvl w:val="0"/>
                <w:numId w:val="1"/>
              </w:numPr>
              <w:spacing w:after="60"/>
            </w:pPr>
            <w:r>
              <w:rPr>
                <w:rFonts w:ascii="Calibri" w:cs="Calibri" w:eastAsia="Calibri" w:hAnsi="Calibri"/>
                <w:color w:val="333333"/>
                <w:sz w:val="17"/>
                <w:szCs w:val="17"/>
              </w:rPr>
              <w:t xml:space="preserve">Real-time access to X (Twitter) data — unique live information moat</w:t>
            </w:r>
          </w:p>
          <w:p>
            <w:pPr>
              <w:pStyle w:val="ListParagraph"/>
              <w:numPr>
                <w:ilvl w:val="0"/>
                <w:numId w:val="1"/>
              </w:numPr>
              <w:spacing w:after="60"/>
            </w:pPr>
            <w:r>
              <w:rPr>
                <w:rFonts w:ascii="Calibri" w:cs="Calibri" w:eastAsia="Calibri" w:hAnsi="Calibri"/>
                <w:color w:val="333333"/>
                <w:sz w:val="17"/>
                <w:szCs w:val="17"/>
              </w:rPr>
              <w:t xml:space="preserve">SuperGrok uncensored mode for professional research markets</w:t>
            </w:r>
          </w:p>
          <w:p>
            <w:pPr>
              <w:pStyle w:val="ListParagraph"/>
              <w:numPr>
                <w:ilvl w:val="0"/>
                <w:numId w:val="1"/>
              </w:numPr>
              <w:spacing w:after="60"/>
            </w:pPr>
            <w:r>
              <w:rPr>
                <w:rFonts w:ascii="Calibri" w:cs="Calibri" w:eastAsia="Calibri" w:hAnsi="Calibri"/>
                <w:color w:val="333333"/>
                <w:sz w:val="17"/>
                <w:szCs w:val="17"/>
              </w:rPr>
              <w:t xml:space="preserve">Aggressive pricing ($0.20/$0.50 per 1M tokens — market cost leader)</w:t>
            </w:r>
          </w:p>
          <w:p>
            <w:pPr>
              <w:pStyle w:val="ListParagraph"/>
              <w:numPr>
                <w:ilvl w:val="0"/>
                <w:numId w:val="1"/>
              </w:numPr>
              <w:spacing w:after="60"/>
            </w:pPr>
            <w:r>
              <w:rPr>
                <w:rFonts w:ascii="Calibri" w:cs="Calibri" w:eastAsia="Calibri" w:hAnsi="Calibri"/>
                <w:color w:val="333333"/>
                <w:sz w:val="17"/>
                <w:szCs w:val="17"/>
              </w:rPr>
              <w:t xml:space="preserve">Elon Musk brand drives rapid global awareness and adoption</w:t>
            </w:r>
          </w:p>
        </w:tc>
        <w:tc>
          <w:tcPr>
            <w:tcW w:type="dxa" w:w="4680"/>
            <w:tcBorders>
              <w:top w:val="single" w:color="EF9A9A" w:sz="4"/>
              <w:left w:val="single" w:color="EF9A9A" w:sz="4"/>
              <w:bottom w:val="single" w:color="EF9A9A" w:sz="4"/>
              <w:right w:val="single" w:color="EF9A9A" w:sz="4"/>
            </w:tcBorders>
            <w:shd w:fill="FFEBEE" w:val="clear"/>
            <w:tcMar>
              <w:top w:type="dxa" w:w="100"/>
              <w:left w:type="dxa" w:w="140"/>
              <w:bottom w:type="dxa" w:w="100"/>
              <w:right w:type="dxa" w:w="140"/>
            </w:tcMar>
          </w:tcPr>
          <w:p>
            <w:pPr>
              <w:spacing w:after="80"/>
            </w:pPr>
            <w:r>
              <w:rPr>
                <w:rFonts w:ascii="Calibri" w:cs="Calibri" w:eastAsia="Calibri" w:hAnsi="Calibri"/>
                <w:b/>
                <w:bCs/>
                <w:caps/>
                <w:color w:val="B71C1C"/>
                <w:sz w:val="18"/>
                <w:szCs w:val="18"/>
              </w:rPr>
              <w:t xml:space="preserve">Weaknesses</w:t>
            </w:r>
          </w:p>
          <w:p>
            <w:pPr>
              <w:pStyle w:val="ListParagraph"/>
              <w:numPr>
                <w:ilvl w:val="0"/>
                <w:numId w:val="1"/>
              </w:numPr>
              <w:spacing w:after="60"/>
            </w:pPr>
            <w:r>
              <w:rPr>
                <w:rFonts w:ascii="Calibri" w:cs="Calibri" w:eastAsia="Calibri" w:hAnsi="Calibri"/>
                <w:color w:val="333333"/>
                <w:sz w:val="17"/>
                <w:szCs w:val="17"/>
              </w:rPr>
              <w:t xml:space="preserve">Enterprise compliance and governance architecture immature</w:t>
            </w:r>
          </w:p>
          <w:p>
            <w:pPr>
              <w:pStyle w:val="ListParagraph"/>
              <w:numPr>
                <w:ilvl w:val="0"/>
                <w:numId w:val="1"/>
              </w:numPr>
              <w:spacing w:after="60"/>
            </w:pPr>
            <w:r>
              <w:rPr>
                <w:rFonts w:ascii="Calibri" w:cs="Calibri" w:eastAsia="Calibri" w:hAnsi="Calibri"/>
                <w:color w:val="333333"/>
                <w:sz w:val="17"/>
                <w:szCs w:val="17"/>
              </w:rPr>
              <w:t xml:space="preserve">Reputational risk from Musk controversies and X platform volatility</w:t>
            </w:r>
          </w:p>
          <w:p>
            <w:pPr>
              <w:pStyle w:val="ListParagraph"/>
              <w:numPr>
                <w:ilvl w:val="0"/>
                <w:numId w:val="1"/>
              </w:numPr>
              <w:spacing w:after="60"/>
            </w:pPr>
            <w:r>
              <w:rPr>
                <w:rFonts w:ascii="Calibri" w:cs="Calibri" w:eastAsia="Calibri" w:hAnsi="Calibri"/>
                <w:color w:val="333333"/>
                <w:sz w:val="17"/>
                <w:szCs w:val="17"/>
              </w:rPr>
              <w:t xml:space="preserve">Limited third-party integrations and enterprise ecosystem</w:t>
            </w:r>
          </w:p>
          <w:p>
            <w:pPr>
              <w:pStyle w:val="ListParagraph"/>
              <w:numPr>
                <w:ilvl w:val="0"/>
                <w:numId w:val="1"/>
              </w:numPr>
              <w:spacing w:after="60"/>
            </w:pPr>
            <w:r>
              <w:rPr>
                <w:rFonts w:ascii="Calibri" w:cs="Calibri" w:eastAsia="Calibri" w:hAnsi="Calibri"/>
                <w:color w:val="333333"/>
                <w:sz w:val="17"/>
                <w:szCs w:val="17"/>
              </w:rPr>
              <w:t xml:space="preserve">Dependent on X platform distribution which may face commercial pressure</w:t>
            </w:r>
          </w:p>
        </w:tc>
      </w:tr>
      <w:tr>
        <w:tc>
          <w:tcPr>
            <w:tcW w:type="dxa" w:w="4680"/>
            <w:tcBorders>
              <w:top w:val="single" w:color="90CAF9" w:sz="4"/>
              <w:left w:val="single" w:color="90CAF9" w:sz="4"/>
              <w:bottom w:val="single" w:color="90CAF9" w:sz="4"/>
              <w:right w:val="single" w:color="90CAF9" w:sz="4"/>
            </w:tcBorders>
            <w:shd w:fill="E3F2FD" w:val="clear"/>
            <w:tcMar>
              <w:top w:type="dxa" w:w="100"/>
              <w:left w:type="dxa" w:w="140"/>
              <w:bottom w:type="dxa" w:w="100"/>
              <w:right w:type="dxa" w:w="140"/>
            </w:tcMar>
          </w:tcPr>
          <w:p>
            <w:pPr>
              <w:spacing w:after="80"/>
            </w:pPr>
            <w:r>
              <w:rPr>
                <w:rFonts w:ascii="Calibri" w:cs="Calibri" w:eastAsia="Calibri" w:hAnsi="Calibri"/>
                <w:b/>
                <w:bCs/>
                <w:caps/>
                <w:color w:val="0D47A1"/>
                <w:sz w:val="18"/>
                <w:szCs w:val="18"/>
              </w:rPr>
              <w:t xml:space="preserve">Opportunities</w:t>
            </w:r>
          </w:p>
          <w:p>
            <w:pPr>
              <w:pStyle w:val="ListParagraph"/>
              <w:numPr>
                <w:ilvl w:val="0"/>
                <w:numId w:val="1"/>
              </w:numPr>
              <w:spacing w:after="60"/>
            </w:pPr>
            <w:r>
              <w:rPr>
                <w:rFonts w:ascii="Calibri" w:cs="Calibri" w:eastAsia="Calibri" w:hAnsi="Calibri"/>
                <w:color w:val="333333"/>
                <w:sz w:val="17"/>
                <w:szCs w:val="17"/>
              </w:rPr>
              <w:t xml:space="preserve">Real-time social intelligence valuable for finance, media, and research verticals</w:t>
            </w:r>
          </w:p>
          <w:p>
            <w:pPr>
              <w:pStyle w:val="ListParagraph"/>
              <w:numPr>
                <w:ilvl w:val="0"/>
                <w:numId w:val="1"/>
              </w:numPr>
              <w:spacing w:after="60"/>
            </w:pPr>
            <w:r>
              <w:rPr>
                <w:rFonts w:ascii="Calibri" w:cs="Calibri" w:eastAsia="Calibri" w:hAnsi="Calibri"/>
                <w:color w:val="333333"/>
                <w:sz w:val="17"/>
                <w:szCs w:val="17"/>
              </w:rPr>
              <w:t xml:space="preserve">SuperGrok captures markets underserved by safety-constrained rivals</w:t>
            </w:r>
          </w:p>
          <w:p>
            <w:pPr>
              <w:pStyle w:val="ListParagraph"/>
              <w:numPr>
                <w:ilvl w:val="0"/>
                <w:numId w:val="1"/>
              </w:numPr>
              <w:spacing w:after="60"/>
            </w:pPr>
            <w:r>
              <w:rPr>
                <w:rFonts w:ascii="Calibri" w:cs="Calibri" w:eastAsia="Calibri" w:hAnsi="Calibri"/>
                <w:color w:val="333333"/>
                <w:sz w:val="17"/>
                <w:szCs w:val="17"/>
              </w:rPr>
              <w:t xml:space="preserve">Autonomous agent capabilities on emerging agentic AI frontier</w:t>
            </w:r>
          </w:p>
          <w:p>
            <w:pPr>
              <w:pStyle w:val="ListParagraph"/>
              <w:numPr>
                <w:ilvl w:val="0"/>
                <w:numId w:val="1"/>
              </w:numPr>
              <w:spacing w:after="60"/>
            </w:pPr>
            <w:r>
              <w:rPr>
                <w:rFonts w:ascii="Calibri" w:cs="Calibri" w:eastAsia="Calibri" w:hAnsi="Calibri"/>
                <w:color w:val="333333"/>
                <w:sz w:val="17"/>
                <w:szCs w:val="17"/>
              </w:rPr>
              <w:t xml:space="preserve">Price leadership driving volume adoption in cost-sensitive segments</w:t>
            </w:r>
          </w:p>
        </w:tc>
        <w:tc>
          <w:tcPr>
            <w:tcW w:type="dxa" w:w="4680"/>
            <w:tcBorders>
              <w:top w:val="single" w:color="FFE082" w:sz="4"/>
              <w:left w:val="single" w:color="FFE082" w:sz="4"/>
              <w:bottom w:val="single" w:color="FFE082" w:sz="4"/>
              <w:right w:val="single" w:color="FFE082" w:sz="4"/>
            </w:tcBorders>
            <w:shd w:fill="FFF8E1" w:val="clear"/>
            <w:tcMar>
              <w:top w:type="dxa" w:w="100"/>
              <w:left w:type="dxa" w:w="140"/>
              <w:bottom w:type="dxa" w:w="100"/>
              <w:right w:type="dxa" w:w="140"/>
            </w:tcMar>
          </w:tcPr>
          <w:p>
            <w:pPr>
              <w:spacing w:after="80"/>
            </w:pPr>
            <w:r>
              <w:rPr>
                <w:rFonts w:ascii="Calibri" w:cs="Calibri" w:eastAsia="Calibri" w:hAnsi="Calibri"/>
                <w:b/>
                <w:bCs/>
                <w:caps/>
                <w:color w:val="E65100"/>
                <w:sz w:val="18"/>
                <w:szCs w:val="18"/>
              </w:rPr>
              <w:t xml:space="preserve">Threats</w:t>
            </w:r>
          </w:p>
          <w:p>
            <w:pPr>
              <w:pStyle w:val="ListParagraph"/>
              <w:numPr>
                <w:ilvl w:val="0"/>
                <w:numId w:val="1"/>
              </w:numPr>
              <w:spacing w:after="60"/>
            </w:pPr>
            <w:r>
              <w:rPr>
                <w:rFonts w:ascii="Calibri" w:cs="Calibri" w:eastAsia="Calibri" w:hAnsi="Calibri"/>
                <w:color w:val="333333"/>
                <w:sz w:val="17"/>
                <w:szCs w:val="17"/>
              </w:rPr>
              <w:t xml:space="preserve">Enterprise procurement blocks in sensitive sectors due to political associations</w:t>
            </w:r>
          </w:p>
          <w:p>
            <w:pPr>
              <w:pStyle w:val="ListParagraph"/>
              <w:numPr>
                <w:ilvl w:val="0"/>
                <w:numId w:val="1"/>
              </w:numPr>
              <w:spacing w:after="60"/>
            </w:pPr>
            <w:r>
              <w:rPr>
                <w:rFonts w:ascii="Calibri" w:cs="Calibri" w:eastAsia="Calibri" w:hAnsi="Calibri"/>
                <w:color w:val="333333"/>
                <w:sz w:val="17"/>
                <w:szCs w:val="17"/>
              </w:rPr>
              <w:t xml:space="preserve">Gemini and Perplexity competing in real-time search and grounding market</w:t>
            </w:r>
          </w:p>
          <w:p>
            <w:pPr>
              <w:pStyle w:val="ListParagraph"/>
              <w:numPr>
                <w:ilvl w:val="0"/>
                <w:numId w:val="1"/>
              </w:numPr>
              <w:spacing w:after="60"/>
            </w:pPr>
            <w:r>
              <w:rPr>
                <w:rFonts w:ascii="Calibri" w:cs="Calibri" w:eastAsia="Calibri" w:hAnsi="Calibri"/>
                <w:color w:val="333333"/>
                <w:sz w:val="17"/>
                <w:szCs w:val="17"/>
              </w:rPr>
              <w:t xml:space="preserve">Regulatory scrutiny on social media data use could restrict X data moat</w:t>
            </w:r>
          </w:p>
          <w:p>
            <w:pPr>
              <w:pStyle w:val="ListParagraph"/>
              <w:numPr>
                <w:ilvl w:val="0"/>
                <w:numId w:val="1"/>
              </w:numPr>
              <w:spacing w:after="60"/>
            </w:pPr>
            <w:r>
              <w:rPr>
                <w:rFonts w:ascii="Calibri" w:cs="Calibri" w:eastAsia="Calibri" w:hAnsi="Calibri"/>
                <w:color w:val="333333"/>
                <w:sz w:val="17"/>
                <w:szCs w:val="17"/>
              </w:rPr>
              <w:t xml:space="preserve">ChatGPT and Claude preferred by users when given a free choice</w:t>
            </w:r>
          </w:p>
        </w:tc>
      </w:tr>
    </w:tbl>
    <w:p>
      <w:pPr>
        <w:spacing w:after="160"/>
      </w:pPr>
      <w:r>
        <w:t xml:space="preserve"/>
      </w:r>
    </w:p>
    <w:p>
      <w:pPr>
        <w:pageBreakBefore/>
      </w:pPr>
      <w:r>
        <w:rPr>
          <w:sz w:val="20"/>
          <w:szCs w:val="20"/>
        </w:rPr>
        <w:t xml:space="preserve"/>
      </w:r>
    </w:p>
    <w:p>
      <w:pPr>
        <w:pStyle w:val="Heading1"/>
        <w:spacing w:before="320" w:after="120"/>
      </w:pPr>
      <w:r>
        <w:rPr>
          <w:rFonts w:ascii="Calibri" w:cs="Calibri" w:eastAsia="Calibri" w:hAnsi="Calibri"/>
          <w:b/>
          <w:bCs/>
          <w:color w:val="1F2B45"/>
          <w:sz w:val="36"/>
          <w:szCs w:val="36"/>
        </w:rPr>
        <w:t xml:space="preserve">7. DeepSeek V3</w:t>
      </w:r>
    </w:p>
    <w:p>
      <w:pPr>
        <w:spacing w:after="80"/>
      </w:pPr>
      <w:r>
        <w:rPr>
          <w:rFonts w:ascii="Calibri" w:cs="Calibri" w:eastAsia="Calibri" w:hAnsi="Calibri"/>
          <w:b/>
          <w:bCs/>
          <w:color w:val="C9A84C"/>
          <w:sz w:val="22"/>
          <w:szCs w:val="22"/>
        </w:rPr>
        <w:t xml:space="preserve">DeepSeek</w:t>
      </w:r>
    </w:p>
    <w:p>
      <w:pPr>
        <w:spacing w:after="160"/>
      </w:pPr>
      <w:r>
        <w:rPr>
          <w:rFonts w:ascii="Calibri" w:cs="Calibri" w:eastAsia="Calibri" w:hAnsi="Calibri"/>
          <w:i/>
          <w:iCs/>
          <w:color w:val="595959"/>
          <w:sz w:val="18"/>
          <w:szCs w:val="18"/>
        </w:rPr>
        <w:t xml:space="preserve">Composite Score: 6.00 / 10  |  Rank: #7 of 10</w:t>
      </w:r>
    </w:p>
    <w:p>
      <w:pPr>
        <w:pBdr>
          <w:bottom w:val="single" w:color="C9A84C" w:sz="8"/>
        </w:pBd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A5D6A7" w:sz="4"/>
              <w:left w:val="single" w:color="A5D6A7" w:sz="4"/>
              <w:bottom w:val="single" w:color="A5D6A7" w:sz="4"/>
              <w:right w:val="single" w:color="A5D6A7" w:sz="4"/>
            </w:tcBorders>
            <w:shd w:fill="E8F5E9" w:val="clear"/>
            <w:tcMar>
              <w:top w:type="dxa" w:w="100"/>
              <w:left w:type="dxa" w:w="140"/>
              <w:bottom w:type="dxa" w:w="100"/>
              <w:right w:type="dxa" w:w="140"/>
            </w:tcMar>
          </w:tcPr>
          <w:p>
            <w:pPr>
              <w:spacing w:after="80"/>
            </w:pPr>
            <w:r>
              <w:rPr>
                <w:rFonts w:ascii="Calibri" w:cs="Calibri" w:eastAsia="Calibri" w:hAnsi="Calibri"/>
                <w:b/>
                <w:bCs/>
                <w:caps/>
                <w:color w:val="1B5E20"/>
                <w:sz w:val="18"/>
                <w:szCs w:val="18"/>
              </w:rPr>
              <w:t xml:space="preserve">Strengths</w:t>
            </w:r>
          </w:p>
          <w:p>
            <w:pPr>
              <w:pStyle w:val="ListParagraph"/>
              <w:numPr>
                <w:ilvl w:val="0"/>
                <w:numId w:val="1"/>
              </w:numPr>
              <w:spacing w:after="60"/>
            </w:pPr>
            <w:r>
              <w:rPr>
                <w:rFonts w:ascii="Calibri" w:cs="Calibri" w:eastAsia="Calibri" w:hAnsi="Calibri"/>
                <w:color w:val="333333"/>
                <w:sz w:val="17"/>
                <w:szCs w:val="17"/>
              </w:rPr>
              <w:t xml:space="preserve">Most cost-competitive frontier model at $0.27/$1.10 per 1M tokens</w:t>
            </w:r>
          </w:p>
          <w:p>
            <w:pPr>
              <w:pStyle w:val="ListParagraph"/>
              <w:numPr>
                <w:ilvl w:val="0"/>
                <w:numId w:val="1"/>
              </w:numPr>
              <w:spacing w:after="60"/>
            </w:pPr>
            <w:r>
              <w:rPr>
                <w:rFonts w:ascii="Calibri" w:cs="Calibri" w:eastAsia="Calibri" w:hAnsi="Calibri"/>
                <w:color w:val="333333"/>
                <w:sz w:val="17"/>
                <w:szCs w:val="17"/>
              </w:rPr>
              <w:t xml:space="preserve">Open-weight availability enables self-hosted deployment</w:t>
            </w:r>
          </w:p>
          <w:p>
            <w:pPr>
              <w:pStyle w:val="ListParagraph"/>
              <w:numPr>
                <w:ilvl w:val="0"/>
                <w:numId w:val="1"/>
              </w:numPr>
              <w:spacing w:after="60"/>
            </w:pPr>
            <w:r>
              <w:rPr>
                <w:rFonts w:ascii="Calibri" w:cs="Calibri" w:eastAsia="Calibri" w:hAnsi="Calibri"/>
                <w:color w:val="333333"/>
                <w:sz w:val="17"/>
                <w:szCs w:val="17"/>
              </w:rPr>
              <w:t xml:space="preserve">Frontier-class reasoning and coding performance</w:t>
            </w:r>
          </w:p>
          <w:p>
            <w:pPr>
              <w:pStyle w:val="ListParagraph"/>
              <w:numPr>
                <w:ilvl w:val="0"/>
                <w:numId w:val="1"/>
              </w:numPr>
              <w:spacing w:after="60"/>
            </w:pPr>
            <w:r>
              <w:rPr>
                <w:rFonts w:ascii="Calibri" w:cs="Calibri" w:eastAsia="Calibri" w:hAnsi="Calibri"/>
                <w:color w:val="333333"/>
                <w:sz w:val="17"/>
                <w:szCs w:val="17"/>
              </w:rPr>
              <w:t xml:space="preserve">Forces Western frontier labs to reduce pricing in competitive response</w:t>
            </w:r>
          </w:p>
        </w:tc>
        <w:tc>
          <w:tcPr>
            <w:tcW w:type="dxa" w:w="4680"/>
            <w:tcBorders>
              <w:top w:val="single" w:color="EF9A9A" w:sz="4"/>
              <w:left w:val="single" w:color="EF9A9A" w:sz="4"/>
              <w:bottom w:val="single" w:color="EF9A9A" w:sz="4"/>
              <w:right w:val="single" w:color="EF9A9A" w:sz="4"/>
            </w:tcBorders>
            <w:shd w:fill="FFEBEE" w:val="clear"/>
            <w:tcMar>
              <w:top w:type="dxa" w:w="100"/>
              <w:left w:type="dxa" w:w="140"/>
              <w:bottom w:type="dxa" w:w="100"/>
              <w:right w:type="dxa" w:w="140"/>
            </w:tcMar>
          </w:tcPr>
          <w:p>
            <w:pPr>
              <w:spacing w:after="80"/>
            </w:pPr>
            <w:r>
              <w:rPr>
                <w:rFonts w:ascii="Calibri" w:cs="Calibri" w:eastAsia="Calibri" w:hAnsi="Calibri"/>
                <w:b/>
                <w:bCs/>
                <w:caps/>
                <w:color w:val="B71C1C"/>
                <w:sz w:val="18"/>
                <w:szCs w:val="18"/>
              </w:rPr>
              <w:t xml:space="preserve">Weaknesses</w:t>
            </w:r>
          </w:p>
          <w:p>
            <w:pPr>
              <w:pStyle w:val="ListParagraph"/>
              <w:numPr>
                <w:ilvl w:val="0"/>
                <w:numId w:val="1"/>
              </w:numPr>
              <w:spacing w:after="60"/>
            </w:pPr>
            <w:r>
              <w:rPr>
                <w:rFonts w:ascii="Calibri" w:cs="Calibri" w:eastAsia="Calibri" w:hAnsi="Calibri"/>
                <w:color w:val="333333"/>
                <w:sz w:val="17"/>
                <w:szCs w:val="17"/>
              </w:rPr>
              <w:t xml:space="preserve">Geopolitical trust concerns limit Western enterprise adoption</w:t>
            </w:r>
          </w:p>
          <w:p>
            <w:pPr>
              <w:pStyle w:val="ListParagraph"/>
              <w:numPr>
                <w:ilvl w:val="0"/>
                <w:numId w:val="1"/>
              </w:numPr>
              <w:spacing w:after="60"/>
            </w:pPr>
            <w:r>
              <w:rPr>
                <w:rFonts w:ascii="Calibri" w:cs="Calibri" w:eastAsia="Calibri" w:hAnsi="Calibri"/>
                <w:color w:val="333333"/>
                <w:sz w:val="17"/>
                <w:szCs w:val="17"/>
              </w:rPr>
              <w:t xml:space="preserve">Less mature enterprise integrations in Western markets</w:t>
            </w:r>
          </w:p>
          <w:p>
            <w:pPr>
              <w:pStyle w:val="ListParagraph"/>
              <w:numPr>
                <w:ilvl w:val="0"/>
                <w:numId w:val="1"/>
              </w:numPr>
              <w:spacing w:after="60"/>
            </w:pPr>
            <w:r>
              <w:rPr>
                <w:rFonts w:ascii="Calibri" w:cs="Calibri" w:eastAsia="Calibri" w:hAnsi="Calibri"/>
                <w:color w:val="333333"/>
                <w:sz w:val="17"/>
                <w:szCs w:val="17"/>
              </w:rPr>
              <w:t xml:space="preserve">Data security concerns around Chinese AI in regulated sectors</w:t>
            </w:r>
          </w:p>
          <w:p>
            <w:pPr>
              <w:pStyle w:val="ListParagraph"/>
              <w:numPr>
                <w:ilvl w:val="0"/>
                <w:numId w:val="1"/>
              </w:numPr>
              <w:spacing w:after="60"/>
            </w:pPr>
            <w:r>
              <w:rPr>
                <w:rFonts w:ascii="Calibri" w:cs="Calibri" w:eastAsia="Calibri" w:hAnsi="Calibri"/>
                <w:color w:val="333333"/>
                <w:sz w:val="17"/>
                <w:szCs w:val="17"/>
              </w:rPr>
              <w:t xml:space="preserve">Brand recognition low outside Asia and developer circles</w:t>
            </w:r>
          </w:p>
        </w:tc>
      </w:tr>
      <w:tr>
        <w:tc>
          <w:tcPr>
            <w:tcW w:type="dxa" w:w="4680"/>
            <w:tcBorders>
              <w:top w:val="single" w:color="90CAF9" w:sz="4"/>
              <w:left w:val="single" w:color="90CAF9" w:sz="4"/>
              <w:bottom w:val="single" w:color="90CAF9" w:sz="4"/>
              <w:right w:val="single" w:color="90CAF9" w:sz="4"/>
            </w:tcBorders>
            <w:shd w:fill="E3F2FD" w:val="clear"/>
            <w:tcMar>
              <w:top w:type="dxa" w:w="100"/>
              <w:left w:type="dxa" w:w="140"/>
              <w:bottom w:type="dxa" w:w="100"/>
              <w:right w:type="dxa" w:w="140"/>
            </w:tcMar>
          </w:tcPr>
          <w:p>
            <w:pPr>
              <w:spacing w:after="80"/>
            </w:pPr>
            <w:r>
              <w:rPr>
                <w:rFonts w:ascii="Calibri" w:cs="Calibri" w:eastAsia="Calibri" w:hAnsi="Calibri"/>
                <w:b/>
                <w:bCs/>
                <w:caps/>
                <w:color w:val="0D47A1"/>
                <w:sz w:val="18"/>
                <w:szCs w:val="18"/>
              </w:rPr>
              <w:t xml:space="preserve">Opportunities</w:t>
            </w:r>
          </w:p>
          <w:p>
            <w:pPr>
              <w:pStyle w:val="ListParagraph"/>
              <w:numPr>
                <w:ilvl w:val="0"/>
                <w:numId w:val="1"/>
              </w:numPr>
              <w:spacing w:after="60"/>
            </w:pPr>
            <w:r>
              <w:rPr>
                <w:rFonts w:ascii="Calibri" w:cs="Calibri" w:eastAsia="Calibri" w:hAnsi="Calibri"/>
                <w:color w:val="333333"/>
                <w:sz w:val="17"/>
                <w:szCs w:val="17"/>
              </w:rPr>
              <w:t xml:space="preserve">Asia-Pacific enterprise adoption accelerating rapidly</w:t>
            </w:r>
          </w:p>
          <w:p>
            <w:pPr>
              <w:pStyle w:val="ListParagraph"/>
              <w:numPr>
                <w:ilvl w:val="0"/>
                <w:numId w:val="1"/>
              </w:numPr>
              <w:spacing w:after="60"/>
            </w:pPr>
            <w:r>
              <w:rPr>
                <w:rFonts w:ascii="Calibri" w:cs="Calibri" w:eastAsia="Calibri" w:hAnsi="Calibri"/>
                <w:color w:val="333333"/>
                <w:sz w:val="17"/>
                <w:szCs w:val="17"/>
              </w:rPr>
              <w:t xml:space="preserve">Open-weight leadership for cost-sensitive deployments globally</w:t>
            </w:r>
          </w:p>
          <w:p>
            <w:pPr>
              <w:pStyle w:val="ListParagraph"/>
              <w:numPr>
                <w:ilvl w:val="0"/>
                <w:numId w:val="1"/>
              </w:numPr>
              <w:spacing w:after="60"/>
            </w:pPr>
            <w:r>
              <w:rPr>
                <w:rFonts w:ascii="Calibri" w:cs="Calibri" w:eastAsia="Calibri" w:hAnsi="Calibri"/>
                <w:color w:val="333333"/>
                <w:sz w:val="17"/>
                <w:szCs w:val="17"/>
              </w:rPr>
              <w:t xml:space="preserve">Partnerships with Western cloud providers expanding neutral hosting options</w:t>
            </w:r>
          </w:p>
          <w:p>
            <w:pPr>
              <w:pStyle w:val="ListParagraph"/>
              <w:numPr>
                <w:ilvl w:val="0"/>
                <w:numId w:val="1"/>
              </w:numPr>
              <w:spacing w:after="60"/>
            </w:pPr>
            <w:r>
              <w:rPr>
                <w:rFonts w:ascii="Calibri" w:cs="Calibri" w:eastAsia="Calibri" w:hAnsi="Calibri"/>
                <w:color w:val="333333"/>
                <w:sz w:val="17"/>
                <w:szCs w:val="17"/>
              </w:rPr>
              <w:t xml:space="preserve">High-volume inference at near-zero cost attracts price-sensitive firms</w:t>
            </w:r>
          </w:p>
        </w:tc>
        <w:tc>
          <w:tcPr>
            <w:tcW w:type="dxa" w:w="4680"/>
            <w:tcBorders>
              <w:top w:val="single" w:color="FFE082" w:sz="4"/>
              <w:left w:val="single" w:color="FFE082" w:sz="4"/>
              <w:bottom w:val="single" w:color="FFE082" w:sz="4"/>
              <w:right w:val="single" w:color="FFE082" w:sz="4"/>
            </w:tcBorders>
            <w:shd w:fill="FFF8E1" w:val="clear"/>
            <w:tcMar>
              <w:top w:type="dxa" w:w="100"/>
              <w:left w:type="dxa" w:w="140"/>
              <w:bottom w:type="dxa" w:w="100"/>
              <w:right w:type="dxa" w:w="140"/>
            </w:tcMar>
          </w:tcPr>
          <w:p>
            <w:pPr>
              <w:spacing w:after="80"/>
            </w:pPr>
            <w:r>
              <w:rPr>
                <w:rFonts w:ascii="Calibri" w:cs="Calibri" w:eastAsia="Calibri" w:hAnsi="Calibri"/>
                <w:b/>
                <w:bCs/>
                <w:caps/>
                <w:color w:val="E65100"/>
                <w:sz w:val="18"/>
                <w:szCs w:val="18"/>
              </w:rPr>
              <w:t xml:space="preserve">Threats</w:t>
            </w:r>
          </w:p>
          <w:p>
            <w:pPr>
              <w:pStyle w:val="ListParagraph"/>
              <w:numPr>
                <w:ilvl w:val="0"/>
                <w:numId w:val="1"/>
              </w:numPr>
              <w:spacing w:after="60"/>
            </w:pPr>
            <w:r>
              <w:rPr>
                <w:rFonts w:ascii="Calibri" w:cs="Calibri" w:eastAsia="Calibri" w:hAnsi="Calibri"/>
                <w:color w:val="333333"/>
                <w:sz w:val="17"/>
                <w:szCs w:val="17"/>
              </w:rPr>
              <w:t xml:space="preserve">Western regulatory barriers to adoption potentially tightening</w:t>
            </w:r>
          </w:p>
          <w:p>
            <w:pPr>
              <w:pStyle w:val="ListParagraph"/>
              <w:numPr>
                <w:ilvl w:val="0"/>
                <w:numId w:val="1"/>
              </w:numPr>
              <w:spacing w:after="60"/>
            </w:pPr>
            <w:r>
              <w:rPr>
                <w:rFonts w:ascii="Calibri" w:cs="Calibri" w:eastAsia="Calibri" w:hAnsi="Calibri"/>
                <w:color w:val="333333"/>
                <w:sz w:val="17"/>
                <w:szCs w:val="17"/>
              </w:rPr>
              <w:t xml:space="preserve">DeepSeek competing with Qwen3 in Chinese AI space</w:t>
            </w:r>
          </w:p>
          <w:p>
            <w:pPr>
              <w:pStyle w:val="ListParagraph"/>
              <w:numPr>
                <w:ilvl w:val="0"/>
                <w:numId w:val="1"/>
              </w:numPr>
              <w:spacing w:after="60"/>
            </w:pPr>
            <w:r>
              <w:rPr>
                <w:rFonts w:ascii="Calibri" w:cs="Calibri" w:eastAsia="Calibri" w:hAnsi="Calibri"/>
                <w:color w:val="333333"/>
                <w:sz w:val="17"/>
                <w:szCs w:val="17"/>
              </w:rPr>
              <w:t xml:space="preserve">Security audits may expose vulnerabilities in open weights</w:t>
            </w:r>
          </w:p>
          <w:p>
            <w:pPr>
              <w:pStyle w:val="ListParagraph"/>
              <w:numPr>
                <w:ilvl w:val="0"/>
                <w:numId w:val="1"/>
              </w:numPr>
              <w:spacing w:after="60"/>
            </w:pPr>
            <w:r>
              <w:rPr>
                <w:rFonts w:ascii="Calibri" w:cs="Calibri" w:eastAsia="Calibri" w:hAnsi="Calibri"/>
                <w:color w:val="333333"/>
                <w:sz w:val="17"/>
                <w:szCs w:val="17"/>
              </w:rPr>
              <w:t xml:space="preserve">Geopolitical tensions could trigger procurement bans in key markets</w:t>
            </w:r>
          </w:p>
        </w:tc>
      </w:tr>
    </w:tbl>
    <w:p>
      <w:pPr>
        <w:spacing w:after="160"/>
      </w:pPr>
      <w:r>
        <w:t xml:space="preserve"/>
      </w:r>
    </w:p>
    <w:p>
      <w:pPr>
        <w:pageBreakBefore/>
      </w:pPr>
      <w:r>
        <w:rPr>
          <w:sz w:val="20"/>
          <w:szCs w:val="20"/>
        </w:rPr>
        <w:t xml:space="preserve"/>
      </w:r>
    </w:p>
    <w:p>
      <w:pPr>
        <w:pStyle w:val="Heading1"/>
        <w:spacing w:before="320" w:after="120"/>
      </w:pPr>
      <w:r>
        <w:rPr>
          <w:rFonts w:ascii="Calibri" w:cs="Calibri" w:eastAsia="Calibri" w:hAnsi="Calibri"/>
          <w:b/>
          <w:bCs/>
          <w:color w:val="1F2B45"/>
          <w:sz w:val="36"/>
          <w:szCs w:val="36"/>
        </w:rPr>
        <w:t xml:space="preserve">8. Qwen3 Max</w:t>
      </w:r>
    </w:p>
    <w:p>
      <w:pPr>
        <w:spacing w:after="80"/>
      </w:pPr>
      <w:r>
        <w:rPr>
          <w:rFonts w:ascii="Calibri" w:cs="Calibri" w:eastAsia="Calibri" w:hAnsi="Calibri"/>
          <w:b/>
          <w:bCs/>
          <w:color w:val="C9A84C"/>
          <w:sz w:val="22"/>
          <w:szCs w:val="22"/>
        </w:rPr>
        <w:t xml:space="preserve">Alibaba</w:t>
      </w:r>
    </w:p>
    <w:p>
      <w:pPr>
        <w:spacing w:after="160"/>
      </w:pPr>
      <w:r>
        <w:rPr>
          <w:rFonts w:ascii="Calibri" w:cs="Calibri" w:eastAsia="Calibri" w:hAnsi="Calibri"/>
          <w:i/>
          <w:iCs/>
          <w:color w:val="595959"/>
          <w:sz w:val="18"/>
          <w:szCs w:val="18"/>
        </w:rPr>
        <w:t xml:space="preserve">Composite Score: 5.65 / 10  |  Rank: #8 of 10</w:t>
      </w:r>
    </w:p>
    <w:p>
      <w:pPr>
        <w:pBdr>
          <w:bottom w:val="single" w:color="C9A84C" w:sz="8"/>
        </w:pBd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A5D6A7" w:sz="4"/>
              <w:left w:val="single" w:color="A5D6A7" w:sz="4"/>
              <w:bottom w:val="single" w:color="A5D6A7" w:sz="4"/>
              <w:right w:val="single" w:color="A5D6A7" w:sz="4"/>
            </w:tcBorders>
            <w:shd w:fill="E8F5E9" w:val="clear"/>
            <w:tcMar>
              <w:top w:type="dxa" w:w="100"/>
              <w:left w:type="dxa" w:w="140"/>
              <w:bottom w:type="dxa" w:w="100"/>
              <w:right w:type="dxa" w:w="140"/>
            </w:tcMar>
          </w:tcPr>
          <w:p>
            <w:pPr>
              <w:spacing w:after="80"/>
            </w:pPr>
            <w:r>
              <w:rPr>
                <w:rFonts w:ascii="Calibri" w:cs="Calibri" w:eastAsia="Calibri" w:hAnsi="Calibri"/>
                <w:b/>
                <w:bCs/>
                <w:caps/>
                <w:color w:val="1B5E20"/>
                <w:sz w:val="18"/>
                <w:szCs w:val="18"/>
              </w:rPr>
              <w:t xml:space="preserve">Strengths</w:t>
            </w:r>
          </w:p>
          <w:p>
            <w:pPr>
              <w:pStyle w:val="ListParagraph"/>
              <w:numPr>
                <w:ilvl w:val="0"/>
                <w:numId w:val="1"/>
              </w:numPr>
              <w:spacing w:after="60"/>
            </w:pPr>
            <w:r>
              <w:rPr>
                <w:rFonts w:ascii="Calibri" w:cs="Calibri" w:eastAsia="Calibri" w:hAnsi="Calibri"/>
                <w:color w:val="333333"/>
                <w:sz w:val="17"/>
                <w:szCs w:val="17"/>
              </w:rPr>
              <w:t xml:space="preserve">235B parameter Mixture-of-Experts architecture enables efficient scaling</w:t>
            </w:r>
          </w:p>
          <w:p>
            <w:pPr>
              <w:pStyle w:val="ListParagraph"/>
              <w:numPr>
                <w:ilvl w:val="0"/>
                <w:numId w:val="1"/>
              </w:numPr>
              <w:spacing w:after="60"/>
            </w:pPr>
            <w:r>
              <w:rPr>
                <w:rFonts w:ascii="Calibri" w:cs="Calibri" w:eastAsia="Calibri" w:hAnsi="Calibri"/>
                <w:color w:val="333333"/>
                <w:sz w:val="17"/>
                <w:szCs w:val="17"/>
              </w:rPr>
              <w:t xml:space="preserve">Top open-weight multilingual capabilities, especially for Asian languages</w:t>
            </w:r>
          </w:p>
          <w:p>
            <w:pPr>
              <w:pStyle w:val="ListParagraph"/>
              <w:numPr>
                <w:ilvl w:val="0"/>
                <w:numId w:val="1"/>
              </w:numPr>
              <w:spacing w:after="60"/>
            </w:pPr>
            <w:r>
              <w:rPr>
                <w:rFonts w:ascii="Calibri" w:cs="Calibri" w:eastAsia="Calibri" w:hAnsi="Calibri"/>
                <w:color w:val="333333"/>
                <w:sz w:val="17"/>
                <w:szCs w:val="17"/>
              </w:rPr>
              <w:t xml:space="preserve">Aggressive pricing and broad open availability</w:t>
            </w:r>
          </w:p>
          <w:p>
            <w:pPr>
              <w:pStyle w:val="ListParagraph"/>
              <w:numPr>
                <w:ilvl w:val="0"/>
                <w:numId w:val="1"/>
              </w:numPr>
              <w:spacing w:after="60"/>
            </w:pPr>
            <w:r>
              <w:rPr>
                <w:rFonts w:ascii="Calibri" w:cs="Calibri" w:eastAsia="Calibri" w:hAnsi="Calibri"/>
                <w:color w:val="333333"/>
                <w:sz w:val="17"/>
                <w:szCs w:val="17"/>
              </w:rPr>
              <w:t xml:space="preserve">Strong Asia-Pacific enterprise and cloud provider relationships via Alibaba</w:t>
            </w:r>
          </w:p>
        </w:tc>
        <w:tc>
          <w:tcPr>
            <w:tcW w:type="dxa" w:w="4680"/>
            <w:tcBorders>
              <w:top w:val="single" w:color="EF9A9A" w:sz="4"/>
              <w:left w:val="single" w:color="EF9A9A" w:sz="4"/>
              <w:bottom w:val="single" w:color="EF9A9A" w:sz="4"/>
              <w:right w:val="single" w:color="EF9A9A" w:sz="4"/>
            </w:tcBorders>
            <w:shd w:fill="FFEBEE" w:val="clear"/>
            <w:tcMar>
              <w:top w:type="dxa" w:w="100"/>
              <w:left w:type="dxa" w:w="140"/>
              <w:bottom w:type="dxa" w:w="100"/>
              <w:right w:type="dxa" w:w="140"/>
            </w:tcMar>
          </w:tcPr>
          <w:p>
            <w:pPr>
              <w:spacing w:after="80"/>
            </w:pPr>
            <w:r>
              <w:rPr>
                <w:rFonts w:ascii="Calibri" w:cs="Calibri" w:eastAsia="Calibri" w:hAnsi="Calibri"/>
                <w:b/>
                <w:bCs/>
                <w:caps/>
                <w:color w:val="B71C1C"/>
                <w:sz w:val="18"/>
                <w:szCs w:val="18"/>
              </w:rPr>
              <w:t xml:space="preserve">Weaknesses</w:t>
            </w:r>
          </w:p>
          <w:p>
            <w:pPr>
              <w:pStyle w:val="ListParagraph"/>
              <w:numPr>
                <w:ilvl w:val="0"/>
                <w:numId w:val="1"/>
              </w:numPr>
              <w:spacing w:after="60"/>
            </w:pPr>
            <w:r>
              <w:rPr>
                <w:rFonts w:ascii="Calibri" w:cs="Calibri" w:eastAsia="Calibri" w:hAnsi="Calibri"/>
                <w:color w:val="333333"/>
                <w:sz w:val="17"/>
                <w:szCs w:val="17"/>
              </w:rPr>
              <w:t xml:space="preserve">Geopolitical trust and compliance concerns for Western enterprise use</w:t>
            </w:r>
          </w:p>
          <w:p>
            <w:pPr>
              <w:pStyle w:val="ListParagraph"/>
              <w:numPr>
                <w:ilvl w:val="0"/>
                <w:numId w:val="1"/>
              </w:numPr>
              <w:spacing w:after="60"/>
            </w:pPr>
            <w:r>
              <w:rPr>
                <w:rFonts w:ascii="Calibri" w:cs="Calibri" w:eastAsia="Calibri" w:hAnsi="Calibri"/>
                <w:color w:val="333333"/>
                <w:sz w:val="17"/>
                <w:szCs w:val="17"/>
              </w:rPr>
              <w:t xml:space="preserve">Less mature enterprise integrations in Western markets</w:t>
            </w:r>
          </w:p>
          <w:p>
            <w:pPr>
              <w:pStyle w:val="ListParagraph"/>
              <w:numPr>
                <w:ilvl w:val="0"/>
                <w:numId w:val="1"/>
              </w:numPr>
              <w:spacing w:after="60"/>
            </w:pPr>
            <w:r>
              <w:rPr>
                <w:rFonts w:ascii="Calibri" w:cs="Calibri" w:eastAsia="Calibri" w:hAnsi="Calibri"/>
                <w:color w:val="333333"/>
                <w:sz w:val="17"/>
                <w:szCs w:val="17"/>
              </w:rPr>
              <w:t xml:space="preserve">Brand recognition low outside Asia and developer circles</w:t>
            </w:r>
          </w:p>
          <w:p>
            <w:pPr>
              <w:pStyle w:val="ListParagraph"/>
              <w:numPr>
                <w:ilvl w:val="0"/>
                <w:numId w:val="1"/>
              </w:numPr>
              <w:spacing w:after="60"/>
            </w:pPr>
            <w:r>
              <w:rPr>
                <w:rFonts w:ascii="Calibri" w:cs="Calibri" w:eastAsia="Calibri" w:hAnsi="Calibri"/>
                <w:color w:val="333333"/>
                <w:sz w:val="17"/>
                <w:szCs w:val="17"/>
              </w:rPr>
              <w:t xml:space="preserve">Kimi K2.5 beating Qwen on some long-context benchmarks</w:t>
            </w:r>
          </w:p>
        </w:tc>
      </w:tr>
      <w:tr>
        <w:tc>
          <w:tcPr>
            <w:tcW w:type="dxa" w:w="4680"/>
            <w:tcBorders>
              <w:top w:val="single" w:color="90CAF9" w:sz="4"/>
              <w:left w:val="single" w:color="90CAF9" w:sz="4"/>
              <w:bottom w:val="single" w:color="90CAF9" w:sz="4"/>
              <w:right w:val="single" w:color="90CAF9" w:sz="4"/>
            </w:tcBorders>
            <w:shd w:fill="E3F2FD" w:val="clear"/>
            <w:tcMar>
              <w:top w:type="dxa" w:w="100"/>
              <w:left w:type="dxa" w:w="140"/>
              <w:bottom w:type="dxa" w:w="100"/>
              <w:right w:type="dxa" w:w="140"/>
            </w:tcMar>
          </w:tcPr>
          <w:p>
            <w:pPr>
              <w:spacing w:after="80"/>
            </w:pPr>
            <w:r>
              <w:rPr>
                <w:rFonts w:ascii="Calibri" w:cs="Calibri" w:eastAsia="Calibri" w:hAnsi="Calibri"/>
                <w:b/>
                <w:bCs/>
                <w:caps/>
                <w:color w:val="0D47A1"/>
                <w:sz w:val="18"/>
                <w:szCs w:val="18"/>
              </w:rPr>
              <w:t xml:space="preserve">Opportunities</w:t>
            </w:r>
          </w:p>
          <w:p>
            <w:pPr>
              <w:pStyle w:val="ListParagraph"/>
              <w:numPr>
                <w:ilvl w:val="0"/>
                <w:numId w:val="1"/>
              </w:numPr>
              <w:spacing w:after="60"/>
            </w:pPr>
            <w:r>
              <w:rPr>
                <w:rFonts w:ascii="Calibri" w:cs="Calibri" w:eastAsia="Calibri" w:hAnsi="Calibri"/>
                <w:color w:val="333333"/>
                <w:sz w:val="17"/>
                <w:szCs w:val="17"/>
              </w:rPr>
              <w:t xml:space="preserve">Asia-Pacific enterprise adoption accelerating</w:t>
            </w:r>
          </w:p>
          <w:p>
            <w:pPr>
              <w:pStyle w:val="ListParagraph"/>
              <w:numPr>
                <w:ilvl w:val="0"/>
                <w:numId w:val="1"/>
              </w:numPr>
              <w:spacing w:after="60"/>
            </w:pPr>
            <w:r>
              <w:rPr>
                <w:rFonts w:ascii="Calibri" w:cs="Calibri" w:eastAsia="Calibri" w:hAnsi="Calibri"/>
                <w:color w:val="333333"/>
                <w:sz w:val="17"/>
                <w:szCs w:val="17"/>
              </w:rPr>
              <w:t xml:space="preserve">Open-weight leadership for cost-sensitive deployments</w:t>
            </w:r>
          </w:p>
          <w:p>
            <w:pPr>
              <w:pStyle w:val="ListParagraph"/>
              <w:numPr>
                <w:ilvl w:val="0"/>
                <w:numId w:val="1"/>
              </w:numPr>
              <w:spacing w:after="60"/>
            </w:pPr>
            <w:r>
              <w:rPr>
                <w:rFonts w:ascii="Calibri" w:cs="Calibri" w:eastAsia="Calibri" w:hAnsi="Calibri"/>
                <w:color w:val="333333"/>
                <w:sz w:val="17"/>
                <w:szCs w:val="17"/>
              </w:rPr>
              <w:t xml:space="preserve">Partnerships with global cloud providers expanding</w:t>
            </w:r>
          </w:p>
          <w:p>
            <w:pPr>
              <w:pStyle w:val="ListParagraph"/>
              <w:numPr>
                <w:ilvl w:val="0"/>
                <w:numId w:val="1"/>
              </w:numPr>
              <w:spacing w:after="60"/>
            </w:pPr>
            <w:r>
              <w:rPr>
                <w:rFonts w:ascii="Calibri" w:cs="Calibri" w:eastAsia="Calibri" w:hAnsi="Calibri"/>
                <w:color w:val="333333"/>
                <w:sz w:val="17"/>
                <w:szCs w:val="17"/>
              </w:rPr>
              <w:t xml:space="preserve">Alibaba Cloud's regional infrastructure provides competitive distribution advantage</w:t>
            </w:r>
          </w:p>
        </w:tc>
        <w:tc>
          <w:tcPr>
            <w:tcW w:type="dxa" w:w="4680"/>
            <w:tcBorders>
              <w:top w:val="single" w:color="FFE082" w:sz="4"/>
              <w:left w:val="single" w:color="FFE082" w:sz="4"/>
              <w:bottom w:val="single" w:color="FFE082" w:sz="4"/>
              <w:right w:val="single" w:color="FFE082" w:sz="4"/>
            </w:tcBorders>
            <w:shd w:fill="FFF8E1" w:val="clear"/>
            <w:tcMar>
              <w:top w:type="dxa" w:w="100"/>
              <w:left w:type="dxa" w:w="140"/>
              <w:bottom w:type="dxa" w:w="100"/>
              <w:right w:type="dxa" w:w="140"/>
            </w:tcMar>
          </w:tcPr>
          <w:p>
            <w:pPr>
              <w:spacing w:after="80"/>
            </w:pPr>
            <w:r>
              <w:rPr>
                <w:rFonts w:ascii="Calibri" w:cs="Calibri" w:eastAsia="Calibri" w:hAnsi="Calibri"/>
                <w:b/>
                <w:bCs/>
                <w:caps/>
                <w:color w:val="E65100"/>
                <w:sz w:val="18"/>
                <w:szCs w:val="18"/>
              </w:rPr>
              <w:t xml:space="preserve">Threats</w:t>
            </w:r>
          </w:p>
          <w:p>
            <w:pPr>
              <w:pStyle w:val="ListParagraph"/>
              <w:numPr>
                <w:ilvl w:val="0"/>
                <w:numId w:val="1"/>
              </w:numPr>
              <w:spacing w:after="60"/>
            </w:pPr>
            <w:r>
              <w:rPr>
                <w:rFonts w:ascii="Calibri" w:cs="Calibri" w:eastAsia="Calibri" w:hAnsi="Calibri"/>
                <w:color w:val="333333"/>
                <w:sz w:val="17"/>
                <w:szCs w:val="17"/>
              </w:rPr>
              <w:t xml:space="preserve">DeepSeek competing directly in Chinese AI open-source space</w:t>
            </w:r>
          </w:p>
          <w:p>
            <w:pPr>
              <w:pStyle w:val="ListParagraph"/>
              <w:numPr>
                <w:ilvl w:val="0"/>
                <w:numId w:val="1"/>
              </w:numPr>
              <w:spacing w:after="60"/>
            </w:pPr>
            <w:r>
              <w:rPr>
                <w:rFonts w:ascii="Calibri" w:cs="Calibri" w:eastAsia="Calibri" w:hAnsi="Calibri"/>
                <w:color w:val="333333"/>
                <w:sz w:val="17"/>
                <w:szCs w:val="17"/>
              </w:rPr>
              <w:t xml:space="preserve">Western regulatory barriers limit adoption in key export markets</w:t>
            </w:r>
          </w:p>
          <w:p>
            <w:pPr>
              <w:pStyle w:val="ListParagraph"/>
              <w:numPr>
                <w:ilvl w:val="0"/>
                <w:numId w:val="1"/>
              </w:numPr>
              <w:spacing w:after="60"/>
            </w:pPr>
            <w:r>
              <w:rPr>
                <w:rFonts w:ascii="Calibri" w:cs="Calibri" w:eastAsia="Calibri" w:hAnsi="Calibri"/>
                <w:color w:val="333333"/>
                <w:sz w:val="17"/>
                <w:szCs w:val="17"/>
              </w:rPr>
              <w:t xml:space="preserve">Kimi K2.5 and Qwen competitors challenging in long-context benchmarks</w:t>
            </w:r>
          </w:p>
          <w:p>
            <w:pPr>
              <w:pStyle w:val="ListParagraph"/>
              <w:numPr>
                <w:ilvl w:val="0"/>
                <w:numId w:val="1"/>
              </w:numPr>
              <w:spacing w:after="60"/>
            </w:pPr>
            <w:r>
              <w:rPr>
                <w:rFonts w:ascii="Calibri" w:cs="Calibri" w:eastAsia="Calibri" w:hAnsi="Calibri"/>
                <w:color w:val="333333"/>
                <w:sz w:val="17"/>
                <w:szCs w:val="17"/>
              </w:rPr>
              <w:t xml:space="preserve">Geopolitical restrictions on Chinese AI adoption in Western markets</w:t>
            </w:r>
          </w:p>
        </w:tc>
      </w:tr>
    </w:tbl>
    <w:p>
      <w:pPr>
        <w:spacing w:after="160"/>
      </w:pPr>
      <w:r>
        <w:t xml:space="preserve"/>
      </w:r>
    </w:p>
    <w:p>
      <w:pPr>
        <w:pageBreakBefore/>
      </w:pPr>
      <w:r>
        <w:rPr>
          <w:sz w:val="20"/>
          <w:szCs w:val="20"/>
        </w:rPr>
        <w:t xml:space="preserve"/>
      </w:r>
    </w:p>
    <w:p>
      <w:pPr>
        <w:pStyle w:val="Heading1"/>
        <w:spacing w:before="320" w:after="120"/>
      </w:pPr>
      <w:r>
        <w:rPr>
          <w:rFonts w:ascii="Calibri" w:cs="Calibri" w:eastAsia="Calibri" w:hAnsi="Calibri"/>
          <w:b/>
          <w:bCs/>
          <w:color w:val="1F2B45"/>
          <w:sz w:val="36"/>
          <w:szCs w:val="36"/>
        </w:rPr>
        <w:t xml:space="preserve">9. Mistral Large 3</w:t>
      </w:r>
    </w:p>
    <w:p>
      <w:pPr>
        <w:spacing w:after="80"/>
      </w:pPr>
      <w:r>
        <w:rPr>
          <w:rFonts w:ascii="Calibri" w:cs="Calibri" w:eastAsia="Calibri" w:hAnsi="Calibri"/>
          <w:b/>
          <w:bCs/>
          <w:color w:val="C9A84C"/>
          <w:sz w:val="22"/>
          <w:szCs w:val="22"/>
        </w:rPr>
        <w:t xml:space="preserve">Mistral AI</w:t>
      </w:r>
    </w:p>
    <w:p>
      <w:pPr>
        <w:spacing w:after="160"/>
      </w:pPr>
      <w:r>
        <w:rPr>
          <w:rFonts w:ascii="Calibri" w:cs="Calibri" w:eastAsia="Calibri" w:hAnsi="Calibri"/>
          <w:i/>
          <w:iCs/>
          <w:color w:val="595959"/>
          <w:sz w:val="18"/>
          <w:szCs w:val="18"/>
        </w:rPr>
        <w:t xml:space="preserve">Composite Score: 5.25 / 10  |  Rank: #9 of 10</w:t>
      </w:r>
    </w:p>
    <w:p>
      <w:pPr>
        <w:pBdr>
          <w:bottom w:val="single" w:color="C9A84C" w:sz="8"/>
        </w:pBd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A5D6A7" w:sz="4"/>
              <w:left w:val="single" w:color="A5D6A7" w:sz="4"/>
              <w:bottom w:val="single" w:color="A5D6A7" w:sz="4"/>
              <w:right w:val="single" w:color="A5D6A7" w:sz="4"/>
            </w:tcBorders>
            <w:shd w:fill="E8F5E9" w:val="clear"/>
            <w:tcMar>
              <w:top w:type="dxa" w:w="100"/>
              <w:left w:type="dxa" w:w="140"/>
              <w:bottom w:type="dxa" w:w="100"/>
              <w:right w:type="dxa" w:w="140"/>
            </w:tcMar>
          </w:tcPr>
          <w:p>
            <w:pPr>
              <w:spacing w:after="80"/>
            </w:pPr>
            <w:r>
              <w:rPr>
                <w:rFonts w:ascii="Calibri" w:cs="Calibri" w:eastAsia="Calibri" w:hAnsi="Calibri"/>
                <w:b/>
                <w:bCs/>
                <w:caps/>
                <w:color w:val="1B5E20"/>
                <w:sz w:val="18"/>
                <w:szCs w:val="18"/>
              </w:rPr>
              <w:t xml:space="preserve">Strengths</w:t>
            </w:r>
          </w:p>
          <w:p>
            <w:pPr>
              <w:pStyle w:val="ListParagraph"/>
              <w:numPr>
                <w:ilvl w:val="0"/>
                <w:numId w:val="1"/>
              </w:numPr>
              <w:spacing w:after="60"/>
            </w:pPr>
            <w:r>
              <w:rPr>
                <w:rFonts w:ascii="Calibri" w:cs="Calibri" w:eastAsia="Calibri" w:hAnsi="Calibri"/>
                <w:color w:val="333333"/>
                <w:sz w:val="17"/>
                <w:szCs w:val="17"/>
              </w:rPr>
              <w:t xml:space="preserve">GDPR-native positioning and EU headquarters — strong European regulatory home-field advantage</w:t>
            </w:r>
          </w:p>
          <w:p>
            <w:pPr>
              <w:pStyle w:val="ListParagraph"/>
              <w:numPr>
                <w:ilvl w:val="0"/>
                <w:numId w:val="1"/>
              </w:numPr>
              <w:spacing w:after="60"/>
            </w:pPr>
            <w:r>
              <w:rPr>
                <w:rFonts w:ascii="Calibri" w:cs="Calibri" w:eastAsia="Calibri" w:hAnsi="Calibri"/>
                <w:color w:val="333333"/>
                <w:sz w:val="17"/>
                <w:szCs w:val="17"/>
              </w:rPr>
              <w:t xml:space="preserve">Competitive reasoning performance at lower cost</w:t>
            </w:r>
          </w:p>
          <w:p>
            <w:pPr>
              <w:pStyle w:val="ListParagraph"/>
              <w:numPr>
                <w:ilvl w:val="0"/>
                <w:numId w:val="1"/>
              </w:numPr>
              <w:spacing w:after="60"/>
            </w:pPr>
            <w:r>
              <w:rPr>
                <w:rFonts w:ascii="Calibri" w:cs="Calibri" w:eastAsia="Calibri" w:hAnsi="Calibri"/>
                <w:color w:val="333333"/>
                <w:sz w:val="17"/>
                <w:szCs w:val="17"/>
              </w:rPr>
              <w:t xml:space="preserve">Open-weight models available for private deployment</w:t>
            </w:r>
          </w:p>
          <w:p>
            <w:pPr>
              <w:pStyle w:val="ListParagraph"/>
              <w:numPr>
                <w:ilvl w:val="0"/>
                <w:numId w:val="1"/>
              </w:numPr>
              <w:spacing w:after="60"/>
            </w:pPr>
            <w:r>
              <w:rPr>
                <w:rFonts w:ascii="Calibri" w:cs="Calibri" w:eastAsia="Calibri" w:hAnsi="Calibri"/>
                <w:color w:val="333333"/>
                <w:sz w:val="17"/>
                <w:szCs w:val="17"/>
              </w:rPr>
              <w:t xml:space="preserve">Transparent, independent European-headquartered vendor alternative to US-China duopoly</w:t>
            </w:r>
          </w:p>
        </w:tc>
        <w:tc>
          <w:tcPr>
            <w:tcW w:type="dxa" w:w="4680"/>
            <w:tcBorders>
              <w:top w:val="single" w:color="EF9A9A" w:sz="4"/>
              <w:left w:val="single" w:color="EF9A9A" w:sz="4"/>
              <w:bottom w:val="single" w:color="EF9A9A" w:sz="4"/>
              <w:right w:val="single" w:color="EF9A9A" w:sz="4"/>
            </w:tcBorders>
            <w:shd w:fill="FFEBEE" w:val="clear"/>
            <w:tcMar>
              <w:top w:type="dxa" w:w="100"/>
              <w:left w:type="dxa" w:w="140"/>
              <w:bottom w:type="dxa" w:w="100"/>
              <w:right w:type="dxa" w:w="140"/>
            </w:tcMar>
          </w:tcPr>
          <w:p>
            <w:pPr>
              <w:spacing w:after="80"/>
            </w:pPr>
            <w:r>
              <w:rPr>
                <w:rFonts w:ascii="Calibri" w:cs="Calibri" w:eastAsia="Calibri" w:hAnsi="Calibri"/>
                <w:b/>
                <w:bCs/>
                <w:caps/>
                <w:color w:val="B71C1C"/>
                <w:sz w:val="18"/>
                <w:szCs w:val="18"/>
              </w:rPr>
              <w:t xml:space="preserve">Weaknesses</w:t>
            </w:r>
          </w:p>
          <w:p>
            <w:pPr>
              <w:pStyle w:val="ListParagraph"/>
              <w:numPr>
                <w:ilvl w:val="0"/>
                <w:numId w:val="1"/>
              </w:numPr>
              <w:spacing w:after="60"/>
            </w:pPr>
            <w:r>
              <w:rPr>
                <w:rFonts w:ascii="Calibri" w:cs="Calibri" w:eastAsia="Calibri" w:hAnsi="Calibri"/>
                <w:color w:val="333333"/>
                <w:sz w:val="17"/>
                <w:szCs w:val="17"/>
              </w:rPr>
              <w:t xml:space="preserve">Benchmark scores below top US frontier models</w:t>
            </w:r>
          </w:p>
          <w:p>
            <w:pPr>
              <w:pStyle w:val="ListParagraph"/>
              <w:numPr>
                <w:ilvl w:val="0"/>
                <w:numId w:val="1"/>
              </w:numPr>
              <w:spacing w:after="60"/>
            </w:pPr>
            <w:r>
              <w:rPr>
                <w:rFonts w:ascii="Calibri" w:cs="Calibri" w:eastAsia="Calibri" w:hAnsi="Calibri"/>
                <w:color w:val="333333"/>
                <w:sz w:val="17"/>
                <w:szCs w:val="17"/>
              </w:rPr>
              <w:t xml:space="preserve">Smaller ecosystem and fewer third-party integrations vs OpenAI/Anthropic</w:t>
            </w:r>
          </w:p>
          <w:p>
            <w:pPr>
              <w:pStyle w:val="ListParagraph"/>
              <w:numPr>
                <w:ilvl w:val="0"/>
                <w:numId w:val="1"/>
              </w:numPr>
              <w:spacing w:after="60"/>
            </w:pPr>
            <w:r>
              <w:rPr>
                <w:rFonts w:ascii="Calibri" w:cs="Calibri" w:eastAsia="Calibri" w:hAnsi="Calibri"/>
                <w:color w:val="333333"/>
                <w:sz w:val="17"/>
                <w:szCs w:val="17"/>
              </w:rPr>
              <w:t xml:space="preserve">Limited brand recognition in enterprise sales cycles outside Europe</w:t>
            </w:r>
          </w:p>
          <w:p>
            <w:pPr>
              <w:pStyle w:val="ListParagraph"/>
              <w:numPr>
                <w:ilvl w:val="0"/>
                <w:numId w:val="1"/>
              </w:numPr>
              <w:spacing w:after="60"/>
            </w:pPr>
            <w:r>
              <w:rPr>
                <w:rFonts w:ascii="Calibri" w:cs="Calibri" w:eastAsia="Calibri" w:hAnsi="Calibri"/>
                <w:color w:val="333333"/>
                <w:sz w:val="17"/>
                <w:szCs w:val="17"/>
              </w:rPr>
              <w:t xml:space="preserve">Significantly smaller R&amp;D budget vs OpenAI, Google, and Microsoft</w:t>
            </w:r>
          </w:p>
        </w:tc>
      </w:tr>
      <w:tr>
        <w:tc>
          <w:tcPr>
            <w:tcW w:type="dxa" w:w="4680"/>
            <w:tcBorders>
              <w:top w:val="single" w:color="90CAF9" w:sz="4"/>
              <w:left w:val="single" w:color="90CAF9" w:sz="4"/>
              <w:bottom w:val="single" w:color="90CAF9" w:sz="4"/>
              <w:right w:val="single" w:color="90CAF9" w:sz="4"/>
            </w:tcBorders>
            <w:shd w:fill="E3F2FD" w:val="clear"/>
            <w:tcMar>
              <w:top w:type="dxa" w:w="100"/>
              <w:left w:type="dxa" w:w="140"/>
              <w:bottom w:type="dxa" w:w="100"/>
              <w:right w:type="dxa" w:w="140"/>
            </w:tcMar>
          </w:tcPr>
          <w:p>
            <w:pPr>
              <w:spacing w:after="80"/>
            </w:pPr>
            <w:r>
              <w:rPr>
                <w:rFonts w:ascii="Calibri" w:cs="Calibri" w:eastAsia="Calibri" w:hAnsi="Calibri"/>
                <w:b/>
                <w:bCs/>
                <w:caps/>
                <w:color w:val="0D47A1"/>
                <w:sz w:val="18"/>
                <w:szCs w:val="18"/>
              </w:rPr>
              <w:t xml:space="preserve">Opportunities</w:t>
            </w:r>
          </w:p>
          <w:p>
            <w:pPr>
              <w:pStyle w:val="ListParagraph"/>
              <w:numPr>
                <w:ilvl w:val="0"/>
                <w:numId w:val="1"/>
              </w:numPr>
              <w:spacing w:after="60"/>
            </w:pPr>
            <w:r>
              <w:rPr>
                <w:rFonts w:ascii="Calibri" w:cs="Calibri" w:eastAsia="Calibri" w:hAnsi="Calibri"/>
                <w:color w:val="333333"/>
                <w:sz w:val="17"/>
                <w:szCs w:val="17"/>
              </w:rPr>
              <w:t xml:space="preserve">EU AI Act creating regulatory home-field advantage for EU-based vendors</w:t>
            </w:r>
          </w:p>
          <w:p>
            <w:pPr>
              <w:pStyle w:val="ListParagraph"/>
              <w:numPr>
                <w:ilvl w:val="0"/>
                <w:numId w:val="1"/>
              </w:numPr>
              <w:spacing w:after="60"/>
            </w:pPr>
            <w:r>
              <w:rPr>
                <w:rFonts w:ascii="Calibri" w:cs="Calibri" w:eastAsia="Calibri" w:hAnsi="Calibri"/>
                <w:color w:val="333333"/>
                <w:sz w:val="17"/>
                <w:szCs w:val="17"/>
              </w:rPr>
              <w:t xml:space="preserve">Organizations seeking non-US and non-Chinese AI provider options</w:t>
            </w:r>
          </w:p>
          <w:p>
            <w:pPr>
              <w:pStyle w:val="ListParagraph"/>
              <w:numPr>
                <w:ilvl w:val="0"/>
                <w:numId w:val="1"/>
              </w:numPr>
              <w:spacing w:after="60"/>
            </w:pPr>
            <w:r>
              <w:rPr>
                <w:rFonts w:ascii="Calibri" w:cs="Calibri" w:eastAsia="Calibri" w:hAnsi="Calibri"/>
                <w:color w:val="333333"/>
                <w:sz w:val="17"/>
                <w:szCs w:val="17"/>
              </w:rPr>
              <w:t xml:space="preserve">EU public sector and defense sovereign AI requirements growing</w:t>
            </w:r>
          </w:p>
          <w:p>
            <w:pPr>
              <w:pStyle w:val="ListParagraph"/>
              <w:numPr>
                <w:ilvl w:val="0"/>
                <w:numId w:val="1"/>
              </w:numPr>
              <w:spacing w:after="60"/>
            </w:pPr>
            <w:r>
              <w:rPr>
                <w:rFonts w:ascii="Calibri" w:cs="Calibri" w:eastAsia="Calibri" w:hAnsi="Calibri"/>
                <w:color w:val="333333"/>
                <w:sz w:val="17"/>
                <w:szCs w:val="17"/>
              </w:rPr>
              <w:t xml:space="preserve">High-volume inference at competitive rates attractive to large European firms</w:t>
            </w:r>
          </w:p>
        </w:tc>
        <w:tc>
          <w:tcPr>
            <w:tcW w:type="dxa" w:w="4680"/>
            <w:tcBorders>
              <w:top w:val="single" w:color="FFE082" w:sz="4"/>
              <w:left w:val="single" w:color="FFE082" w:sz="4"/>
              <w:bottom w:val="single" w:color="FFE082" w:sz="4"/>
              <w:right w:val="single" w:color="FFE082" w:sz="4"/>
            </w:tcBorders>
            <w:shd w:fill="FFF8E1" w:val="clear"/>
            <w:tcMar>
              <w:top w:type="dxa" w:w="100"/>
              <w:left w:type="dxa" w:w="140"/>
              <w:bottom w:type="dxa" w:w="100"/>
              <w:right w:type="dxa" w:w="140"/>
            </w:tcMar>
          </w:tcPr>
          <w:p>
            <w:pPr>
              <w:spacing w:after="80"/>
            </w:pPr>
            <w:r>
              <w:rPr>
                <w:rFonts w:ascii="Calibri" w:cs="Calibri" w:eastAsia="Calibri" w:hAnsi="Calibri"/>
                <w:b/>
                <w:bCs/>
                <w:caps/>
                <w:color w:val="E65100"/>
                <w:sz w:val="18"/>
                <w:szCs w:val="18"/>
              </w:rPr>
              <w:t xml:space="preserve">Threats</w:t>
            </w:r>
          </w:p>
          <w:p>
            <w:pPr>
              <w:pStyle w:val="ListParagraph"/>
              <w:numPr>
                <w:ilvl w:val="0"/>
                <w:numId w:val="1"/>
              </w:numPr>
              <w:spacing w:after="60"/>
            </w:pPr>
            <w:r>
              <w:rPr>
                <w:rFonts w:ascii="Calibri" w:cs="Calibri" w:eastAsia="Calibri" w:hAnsi="Calibri"/>
                <w:color w:val="333333"/>
                <w:sz w:val="17"/>
                <w:szCs w:val="17"/>
              </w:rPr>
              <w:t xml:space="preserve">DeepSeek offering similar open-source value at lower cost</w:t>
            </w:r>
          </w:p>
          <w:p>
            <w:pPr>
              <w:pStyle w:val="ListParagraph"/>
              <w:numPr>
                <w:ilvl w:val="0"/>
                <w:numId w:val="1"/>
              </w:numPr>
              <w:spacing w:after="60"/>
            </w:pPr>
            <w:r>
              <w:rPr>
                <w:rFonts w:ascii="Calibri" w:cs="Calibri" w:eastAsia="Calibri" w:hAnsi="Calibri"/>
                <w:color w:val="333333"/>
                <w:sz w:val="17"/>
                <w:szCs w:val="17"/>
              </w:rPr>
              <w:t xml:space="preserve">US frontier models aggressively narrowing the cost gap</w:t>
            </w:r>
          </w:p>
          <w:p>
            <w:pPr>
              <w:pStyle w:val="ListParagraph"/>
              <w:numPr>
                <w:ilvl w:val="0"/>
                <w:numId w:val="1"/>
              </w:numPr>
              <w:spacing w:after="60"/>
            </w:pPr>
            <w:r>
              <w:rPr>
                <w:rFonts w:ascii="Calibri" w:cs="Calibri" w:eastAsia="Calibri" w:hAnsi="Calibri"/>
                <w:color w:val="333333"/>
                <w:sz w:val="17"/>
                <w:szCs w:val="17"/>
              </w:rPr>
              <w:t xml:space="preserve">Chinese open-source models undercutting on price and quality</w:t>
            </w:r>
          </w:p>
          <w:p>
            <w:pPr>
              <w:pStyle w:val="ListParagraph"/>
              <w:numPr>
                <w:ilvl w:val="0"/>
                <w:numId w:val="1"/>
              </w:numPr>
              <w:spacing w:after="60"/>
            </w:pPr>
            <w:r>
              <w:rPr>
                <w:rFonts w:ascii="Calibri" w:cs="Calibri" w:eastAsia="Calibri" w:hAnsi="Calibri"/>
                <w:color w:val="333333"/>
                <w:sz w:val="17"/>
                <w:szCs w:val="17"/>
              </w:rPr>
              <w:t xml:space="preserve">Limited scale may prevent matching frontier model quality improvements</w:t>
            </w:r>
          </w:p>
        </w:tc>
      </w:tr>
    </w:tbl>
    <w:p>
      <w:pPr>
        <w:spacing w:after="160"/>
      </w:pPr>
      <w:r>
        <w:t xml:space="preserve"/>
      </w:r>
    </w:p>
    <w:p>
      <w:pPr>
        <w:pageBreakBefore/>
      </w:pPr>
      <w:r>
        <w:rPr>
          <w:sz w:val="20"/>
          <w:szCs w:val="20"/>
        </w:rPr>
        <w:t xml:space="preserve"/>
      </w:r>
    </w:p>
    <w:p>
      <w:pPr>
        <w:pStyle w:val="Heading1"/>
        <w:spacing w:before="320" w:after="120"/>
      </w:pPr>
      <w:r>
        <w:rPr>
          <w:rFonts w:ascii="Calibri" w:cs="Calibri" w:eastAsia="Calibri" w:hAnsi="Calibri"/>
          <w:b/>
          <w:bCs/>
          <w:color w:val="1F2B45"/>
          <w:sz w:val="36"/>
          <w:szCs w:val="36"/>
        </w:rPr>
        <w:t xml:space="preserve">10. Perplexity (Sonar)</w:t>
      </w:r>
    </w:p>
    <w:p>
      <w:pPr>
        <w:spacing w:after="80"/>
      </w:pPr>
      <w:r>
        <w:rPr>
          <w:rFonts w:ascii="Calibri" w:cs="Calibri" w:eastAsia="Calibri" w:hAnsi="Calibri"/>
          <w:b/>
          <w:bCs/>
          <w:color w:val="C9A84C"/>
          <w:sz w:val="22"/>
          <w:szCs w:val="22"/>
        </w:rPr>
        <w:t xml:space="preserve">Perplexity AI</w:t>
      </w:r>
    </w:p>
    <w:p>
      <w:pPr>
        <w:spacing w:after="160"/>
      </w:pPr>
      <w:r>
        <w:rPr>
          <w:rFonts w:ascii="Calibri" w:cs="Calibri" w:eastAsia="Calibri" w:hAnsi="Calibri"/>
          <w:i/>
          <w:iCs/>
          <w:color w:val="595959"/>
          <w:sz w:val="18"/>
          <w:szCs w:val="18"/>
        </w:rPr>
        <w:t xml:space="preserve">Composite Score: 4.45 / 10  |  Rank: #10 of 10</w:t>
      </w:r>
    </w:p>
    <w:p>
      <w:pPr>
        <w:pBdr>
          <w:bottom w:val="single" w:color="C9A84C" w:sz="8"/>
        </w:pBd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A5D6A7" w:sz="4"/>
              <w:left w:val="single" w:color="A5D6A7" w:sz="4"/>
              <w:bottom w:val="single" w:color="A5D6A7" w:sz="4"/>
              <w:right w:val="single" w:color="A5D6A7" w:sz="4"/>
            </w:tcBorders>
            <w:shd w:fill="E8F5E9" w:val="clear"/>
            <w:tcMar>
              <w:top w:type="dxa" w:w="100"/>
              <w:left w:type="dxa" w:w="140"/>
              <w:bottom w:type="dxa" w:w="100"/>
              <w:right w:type="dxa" w:w="140"/>
            </w:tcMar>
          </w:tcPr>
          <w:p>
            <w:pPr>
              <w:spacing w:after="80"/>
            </w:pPr>
            <w:r>
              <w:rPr>
                <w:rFonts w:ascii="Calibri" w:cs="Calibri" w:eastAsia="Calibri" w:hAnsi="Calibri"/>
                <w:b/>
                <w:bCs/>
                <w:caps/>
                <w:color w:val="1B5E20"/>
                <w:sz w:val="18"/>
                <w:szCs w:val="18"/>
              </w:rPr>
              <w:t xml:space="preserve">Strengths</w:t>
            </w:r>
          </w:p>
          <w:p>
            <w:pPr>
              <w:pStyle w:val="ListParagraph"/>
              <w:numPr>
                <w:ilvl w:val="0"/>
                <w:numId w:val="1"/>
              </w:numPr>
              <w:spacing w:after="60"/>
            </w:pPr>
            <w:r>
              <w:rPr>
                <w:rFonts w:ascii="Calibri" w:cs="Calibri" w:eastAsia="Calibri" w:hAnsi="Calibri"/>
                <w:color w:val="333333"/>
                <w:sz w:val="17"/>
                <w:szCs w:val="17"/>
              </w:rPr>
              <w:t xml:space="preserve">Purpose-built for real-time cited research workflows with automatic source attribution</w:t>
            </w:r>
          </w:p>
          <w:p>
            <w:pPr>
              <w:pStyle w:val="ListParagraph"/>
              <w:numPr>
                <w:ilvl w:val="0"/>
                <w:numId w:val="1"/>
              </w:numPr>
              <w:spacing w:after="60"/>
            </w:pPr>
            <w:r>
              <w:rPr>
                <w:rFonts w:ascii="Calibri" w:cs="Calibri" w:eastAsia="Calibri" w:hAnsi="Calibri"/>
                <w:color w:val="333333"/>
                <w:sz w:val="17"/>
                <w:szCs w:val="17"/>
              </w:rPr>
              <w:t xml:space="preserve">Pro plan bundles access to leading frontier models in one hub</w:t>
            </w:r>
          </w:p>
          <w:p>
            <w:pPr>
              <w:pStyle w:val="ListParagraph"/>
              <w:numPr>
                <w:ilvl w:val="0"/>
                <w:numId w:val="1"/>
              </w:numPr>
              <w:spacing w:after="60"/>
            </w:pPr>
            <w:r>
              <w:rPr>
                <w:rFonts w:ascii="Calibri" w:cs="Calibri" w:eastAsia="Calibri" w:hAnsi="Calibri"/>
                <w:color w:val="333333"/>
                <w:sz w:val="17"/>
                <w:szCs w:val="17"/>
              </w:rPr>
              <w:t xml:space="preserve">10x faster than some competitors for search-based tasks</w:t>
            </w:r>
          </w:p>
          <w:p>
            <w:pPr>
              <w:pStyle w:val="ListParagraph"/>
              <w:numPr>
                <w:ilvl w:val="0"/>
                <w:numId w:val="1"/>
              </w:numPr>
              <w:spacing w:after="60"/>
            </w:pPr>
            <w:r>
              <w:rPr>
                <w:rFonts w:ascii="Calibri" w:cs="Calibri" w:eastAsia="Calibri" w:hAnsi="Calibri"/>
                <w:color w:val="333333"/>
                <w:sz w:val="17"/>
                <w:szCs w:val="17"/>
              </w:rPr>
              <w:t xml:space="preserve">Rising enterprise demand for verifiable, cited AI outputs</w:t>
            </w:r>
          </w:p>
        </w:tc>
        <w:tc>
          <w:tcPr>
            <w:tcW w:type="dxa" w:w="4680"/>
            <w:tcBorders>
              <w:top w:val="single" w:color="EF9A9A" w:sz="4"/>
              <w:left w:val="single" w:color="EF9A9A" w:sz="4"/>
              <w:bottom w:val="single" w:color="EF9A9A" w:sz="4"/>
              <w:right w:val="single" w:color="EF9A9A" w:sz="4"/>
            </w:tcBorders>
            <w:shd w:fill="FFEBEE" w:val="clear"/>
            <w:tcMar>
              <w:top w:type="dxa" w:w="100"/>
              <w:left w:type="dxa" w:w="140"/>
              <w:bottom w:type="dxa" w:w="100"/>
              <w:right w:type="dxa" w:w="140"/>
            </w:tcMar>
          </w:tcPr>
          <w:p>
            <w:pPr>
              <w:spacing w:after="80"/>
            </w:pPr>
            <w:r>
              <w:rPr>
                <w:rFonts w:ascii="Calibri" w:cs="Calibri" w:eastAsia="Calibri" w:hAnsi="Calibri"/>
                <w:b/>
                <w:bCs/>
                <w:caps/>
                <w:color w:val="B71C1C"/>
                <w:sz w:val="18"/>
                <w:szCs w:val="18"/>
              </w:rPr>
              <w:t xml:space="preserve">Weaknesses</w:t>
            </w:r>
          </w:p>
          <w:p>
            <w:pPr>
              <w:pStyle w:val="ListParagraph"/>
              <w:numPr>
                <w:ilvl w:val="0"/>
                <w:numId w:val="1"/>
              </w:numPr>
              <w:spacing w:after="60"/>
            </w:pPr>
            <w:r>
              <w:rPr>
                <w:rFonts w:ascii="Calibri" w:cs="Calibri" w:eastAsia="Calibri" w:hAnsi="Calibri"/>
                <w:color w:val="333333"/>
                <w:sz w:val="17"/>
                <w:szCs w:val="17"/>
              </w:rPr>
              <w:t xml:space="preserve">Not a general-purpose LLM — narrow single-use-case focus</w:t>
            </w:r>
          </w:p>
          <w:p>
            <w:pPr>
              <w:pStyle w:val="ListParagraph"/>
              <w:numPr>
                <w:ilvl w:val="0"/>
                <w:numId w:val="1"/>
              </w:numPr>
              <w:spacing w:after="60"/>
            </w:pPr>
            <w:r>
              <w:rPr>
                <w:rFonts w:ascii="Calibri" w:cs="Calibri" w:eastAsia="Calibri" w:hAnsi="Calibri"/>
                <w:color w:val="333333"/>
                <w:sz w:val="17"/>
                <w:szCs w:val="17"/>
              </w:rPr>
              <w:t xml:space="preserve">Core reasoning capability dependent on third-party model APIs (OpenAI, Anthropic)</w:t>
            </w:r>
          </w:p>
          <w:p>
            <w:pPr>
              <w:pStyle w:val="ListParagraph"/>
              <w:numPr>
                <w:ilvl w:val="0"/>
                <w:numId w:val="1"/>
              </w:numPr>
              <w:spacing w:after="60"/>
            </w:pPr>
            <w:r>
              <w:rPr>
                <w:rFonts w:ascii="Calibri" w:cs="Calibri" w:eastAsia="Calibri" w:hAnsi="Calibri"/>
                <w:color w:val="333333"/>
                <w:sz w:val="17"/>
                <w:szCs w:val="17"/>
              </w:rPr>
              <w:t xml:space="preserve">Limited enterprise integration ecosystem vs full-stack competitors</w:t>
            </w:r>
          </w:p>
          <w:p>
            <w:pPr>
              <w:pStyle w:val="ListParagraph"/>
              <w:numPr>
                <w:ilvl w:val="0"/>
                <w:numId w:val="1"/>
              </w:numPr>
              <w:spacing w:after="60"/>
            </w:pPr>
            <w:r>
              <w:rPr>
                <w:rFonts w:ascii="Calibri" w:cs="Calibri" w:eastAsia="Calibri" w:hAnsi="Calibri"/>
                <w:color w:val="333333"/>
                <w:sz w:val="17"/>
                <w:szCs w:val="17"/>
              </w:rPr>
              <w:t xml:space="preserve">Consumer search market declining as a standalone use case</w:t>
            </w:r>
          </w:p>
        </w:tc>
      </w:tr>
      <w:tr>
        <w:tc>
          <w:tcPr>
            <w:tcW w:type="dxa" w:w="4680"/>
            <w:tcBorders>
              <w:top w:val="single" w:color="90CAF9" w:sz="4"/>
              <w:left w:val="single" w:color="90CAF9" w:sz="4"/>
              <w:bottom w:val="single" w:color="90CAF9" w:sz="4"/>
              <w:right w:val="single" w:color="90CAF9" w:sz="4"/>
            </w:tcBorders>
            <w:shd w:fill="E3F2FD" w:val="clear"/>
            <w:tcMar>
              <w:top w:type="dxa" w:w="100"/>
              <w:left w:type="dxa" w:w="140"/>
              <w:bottom w:type="dxa" w:w="100"/>
              <w:right w:type="dxa" w:w="140"/>
            </w:tcMar>
          </w:tcPr>
          <w:p>
            <w:pPr>
              <w:spacing w:after="80"/>
            </w:pPr>
            <w:r>
              <w:rPr>
                <w:rFonts w:ascii="Calibri" w:cs="Calibri" w:eastAsia="Calibri" w:hAnsi="Calibri"/>
                <w:b/>
                <w:bCs/>
                <w:caps/>
                <w:color w:val="0D47A1"/>
                <w:sz w:val="18"/>
                <w:szCs w:val="18"/>
              </w:rPr>
              <w:t xml:space="preserve">Opportunities</w:t>
            </w:r>
          </w:p>
          <w:p>
            <w:pPr>
              <w:pStyle w:val="ListParagraph"/>
              <w:numPr>
                <w:ilvl w:val="0"/>
                <w:numId w:val="1"/>
              </w:numPr>
              <w:spacing w:after="60"/>
            </w:pPr>
            <w:r>
              <w:rPr>
                <w:rFonts w:ascii="Calibri" w:cs="Calibri" w:eastAsia="Calibri" w:hAnsi="Calibri"/>
                <w:color w:val="333333"/>
                <w:sz w:val="17"/>
                <w:szCs w:val="17"/>
              </w:rPr>
              <w:t xml:space="preserve">Research and knowledge-work market growing rapidly in professional sectors</w:t>
            </w:r>
          </w:p>
          <w:p>
            <w:pPr>
              <w:pStyle w:val="ListParagraph"/>
              <w:numPr>
                <w:ilvl w:val="0"/>
                <w:numId w:val="1"/>
              </w:numPr>
              <w:spacing w:after="60"/>
            </w:pPr>
            <w:r>
              <w:rPr>
                <w:rFonts w:ascii="Calibri" w:cs="Calibri" w:eastAsia="Calibri" w:hAnsi="Calibri"/>
                <w:color w:val="333333"/>
                <w:sz w:val="17"/>
                <w:szCs w:val="17"/>
              </w:rPr>
              <w:t xml:space="preserve">Enterprise demand for verifiable, cited AI outputs rising in regulated industries</w:t>
            </w:r>
          </w:p>
          <w:p>
            <w:pPr>
              <w:pStyle w:val="ListParagraph"/>
              <w:numPr>
                <w:ilvl w:val="0"/>
                <w:numId w:val="1"/>
              </w:numPr>
              <w:spacing w:after="60"/>
            </w:pPr>
            <w:r>
              <w:rPr>
                <w:rFonts w:ascii="Calibri" w:cs="Calibri" w:eastAsia="Calibri" w:hAnsi="Calibri"/>
                <w:color w:val="333333"/>
                <w:sz w:val="17"/>
                <w:szCs w:val="17"/>
              </w:rPr>
              <w:t xml:space="preserve">Expanding into broader professional productivity workflows beyond search</w:t>
            </w:r>
          </w:p>
          <w:p>
            <w:pPr>
              <w:pStyle w:val="ListParagraph"/>
              <w:numPr>
                <w:ilvl w:val="0"/>
                <w:numId w:val="1"/>
              </w:numPr>
              <w:spacing w:after="60"/>
            </w:pPr>
            <w:r>
              <w:rPr>
                <w:rFonts w:ascii="Calibri" w:cs="Calibri" w:eastAsia="Calibri" w:hAnsi="Calibri"/>
                <w:color w:val="333333"/>
                <w:sz w:val="17"/>
                <w:szCs w:val="17"/>
              </w:rPr>
              <w:t xml:space="preserve">Proprietary Sonar model development reducing third-party dependency</w:t>
            </w:r>
          </w:p>
        </w:tc>
        <w:tc>
          <w:tcPr>
            <w:tcW w:type="dxa" w:w="4680"/>
            <w:tcBorders>
              <w:top w:val="single" w:color="FFE082" w:sz="4"/>
              <w:left w:val="single" w:color="FFE082" w:sz="4"/>
              <w:bottom w:val="single" w:color="FFE082" w:sz="4"/>
              <w:right w:val="single" w:color="FFE082" w:sz="4"/>
            </w:tcBorders>
            <w:shd w:fill="FFF8E1" w:val="clear"/>
            <w:tcMar>
              <w:top w:type="dxa" w:w="100"/>
              <w:left w:type="dxa" w:w="140"/>
              <w:bottom w:type="dxa" w:w="100"/>
              <w:right w:type="dxa" w:w="140"/>
            </w:tcMar>
          </w:tcPr>
          <w:p>
            <w:pPr>
              <w:spacing w:after="80"/>
            </w:pPr>
            <w:r>
              <w:rPr>
                <w:rFonts w:ascii="Calibri" w:cs="Calibri" w:eastAsia="Calibri" w:hAnsi="Calibri"/>
                <w:b/>
                <w:bCs/>
                <w:caps/>
                <w:color w:val="E65100"/>
                <w:sz w:val="18"/>
                <w:szCs w:val="18"/>
              </w:rPr>
              <w:t xml:space="preserve">Threats</w:t>
            </w:r>
          </w:p>
          <w:p>
            <w:pPr>
              <w:pStyle w:val="ListParagraph"/>
              <w:numPr>
                <w:ilvl w:val="0"/>
                <w:numId w:val="1"/>
              </w:numPr>
              <w:spacing w:after="60"/>
            </w:pPr>
            <w:r>
              <w:rPr>
                <w:rFonts w:ascii="Calibri" w:cs="Calibri" w:eastAsia="Calibri" w:hAnsi="Calibri"/>
                <w:color w:val="333333"/>
                <w:sz w:val="17"/>
                <w:szCs w:val="17"/>
              </w:rPr>
              <w:t xml:space="preserve">Google Gemini with Grounding competes directly in real-time cited search</w:t>
            </w:r>
          </w:p>
          <w:p>
            <w:pPr>
              <w:pStyle w:val="ListParagraph"/>
              <w:numPr>
                <w:ilvl w:val="0"/>
                <w:numId w:val="1"/>
              </w:numPr>
              <w:spacing w:after="60"/>
            </w:pPr>
            <w:r>
              <w:rPr>
                <w:rFonts w:ascii="Calibri" w:cs="Calibri" w:eastAsia="Calibri" w:hAnsi="Calibri"/>
                <w:color w:val="333333"/>
                <w:sz w:val="17"/>
                <w:szCs w:val="17"/>
              </w:rPr>
              <w:t xml:space="preserve">OpenAI Deep Research mode encroaching on Perplexity's core use case</w:t>
            </w:r>
          </w:p>
          <w:p>
            <w:pPr>
              <w:pStyle w:val="ListParagraph"/>
              <w:numPr>
                <w:ilvl w:val="0"/>
                <w:numId w:val="1"/>
              </w:numPr>
              <w:spacing w:after="60"/>
            </w:pPr>
            <w:r>
              <w:rPr>
                <w:rFonts w:ascii="Calibri" w:cs="Calibri" w:eastAsia="Calibri" w:hAnsi="Calibri"/>
                <w:color w:val="333333"/>
                <w:sz w:val="17"/>
                <w:szCs w:val="17"/>
              </w:rPr>
              <w:t xml:space="preserve">ChatGPT memory and search becoming increasingly capable</w:t>
            </w:r>
          </w:p>
          <w:p>
            <w:pPr>
              <w:pStyle w:val="ListParagraph"/>
              <w:numPr>
                <w:ilvl w:val="0"/>
                <w:numId w:val="1"/>
              </w:numPr>
              <w:spacing w:after="60"/>
            </w:pPr>
            <w:r>
              <w:rPr>
                <w:rFonts w:ascii="Calibri" w:cs="Calibri" w:eastAsia="Calibri" w:hAnsi="Calibri"/>
                <w:color w:val="333333"/>
                <w:sz w:val="17"/>
                <w:szCs w:val="17"/>
              </w:rPr>
              <w:t xml:space="preserve">Existential risk if OpenAI or Anthropic restricts API access</w:t>
            </w:r>
          </w:p>
        </w:tc>
      </w:tr>
    </w:tbl>
    <w:p>
      <w:pPr>
        <w:spacing w:after="160"/>
      </w:pPr>
      <w:r>
        <w:t xml:space="preserve"/>
      </w:r>
    </w:p>
    <w:p>
      <w:pPr>
        <w:pageBreakBefore/>
      </w:pPr>
      <w:r>
        <w:rPr>
          <w:sz w:val="20"/>
          <w:szCs w:val="20"/>
        </w:rPr>
        <w:t xml:space="preserve"/>
      </w:r>
    </w:p>
    <w:p>
      <w:pPr>
        <w:pStyle w:val="Heading1"/>
        <w:spacing w:before="320" w:after="120"/>
      </w:pPr>
      <w:r>
        <w:rPr>
          <w:rFonts w:ascii="Calibri" w:cs="Calibri" w:eastAsia="Calibri" w:hAnsi="Calibri"/>
          <w:b/>
          <w:bCs/>
          <w:color w:val="1F2B45"/>
          <w:sz w:val="36"/>
          <w:szCs w:val="36"/>
        </w:rPr>
        <w:t xml:space="preserve">Cross-Model Observations</w:t>
      </w:r>
    </w:p>
    <w:p>
      <w:pPr>
        <w:pBdr>
          <w:bottom w:val="single" w:color="C9A84C" w:sz="8"/>
        </w:pBdr>
        <w:spacing w:after="160"/>
      </w:pPr>
    </w:p>
    <w:p>
      <w:pPr>
        <w:spacing w:after="80"/>
      </w:pPr>
      <w:r>
        <w:rPr>
          <w:rFonts w:ascii="Calibri" w:cs="Calibri" w:eastAsia="Calibri" w:hAnsi="Calibri"/>
          <w:b w:val="false"/>
          <w:bCs w:val="false"/>
          <w:i/>
          <w:iCs/>
          <w:color w:val="595959"/>
          <w:sz w:val="20"/>
          <w:szCs w:val="20"/>
        </w:rPr>
        <w:t xml:space="preserve">The following observations emerge from patterns identified across all ten analyzes. They highlight structural themes in the AI competitive landscape that are not visible from any single model's analysis in isolation.</w:t>
      </w:r>
    </w:p>
    <w:p>
      <w:pPr>
        <w:spacing w:after="160"/>
      </w:pPr>
      <w:r>
        <w:t xml:space="preserve"/>
      </w:r>
    </w:p>
    <w:p>
      <w:pPr>
        <w:pStyle w:val="Heading2"/>
        <w:pBdr>
          <w:bottom w:val="single" w:color="C9A84C" w:sz="4"/>
        </w:pBdr>
        <w:spacing w:before="200" w:after="80"/>
      </w:pPr>
      <w:r>
        <w:rPr>
          <w:rFonts w:ascii="Calibri" w:cs="Calibri" w:eastAsia="Calibri" w:hAnsi="Calibri"/>
          <w:b/>
          <w:bCs/>
          <w:color w:val="1F2B45"/>
          <w:sz w:val="26"/>
          <w:szCs w:val="26"/>
        </w:rPr>
        <w:t xml:space="preserve">The Asian AI bloc shares a geopolitical playbook</w:t>
      </w:r>
    </w:p>
    <w:p>
      <w:pPr>
        <w:spacing w:after="80"/>
      </w:pPr>
      <w:r>
        <w:rPr>
          <w:rFonts w:ascii="Calibri" w:cs="Calibri" w:eastAsia="Calibri" w:hAnsi="Calibri"/>
          <w:b w:val="false"/>
          <w:bCs w:val="false"/>
          <w:i w:val="false"/>
          <w:iCs w:val="false"/>
          <w:color w:val="595959"/>
          <w:sz w:val="20"/>
          <w:szCs w:val="20"/>
        </w:rPr>
        <w:t xml:space="preserve">DeepSeek, Qwen3, and related Chinese models share a near-identical WT and WO strategy: establish Western legal entities, pursue third-party audits, partner with neutral cloud providers, and diversify revenue. Geopolitical risk is the defining constraint for all Chinese AI vendors — not model quality, which is now competitive at frontier level.</w:t>
      </w:r>
    </w:p>
    <w:p>
      <w:pPr>
        <w:spacing w:after="160"/>
      </w:pPr>
      <w:r>
        <w:t xml:space="preserve"/>
      </w:r>
    </w:p>
    <w:p>
      <w:pPr>
        <w:pStyle w:val="Heading2"/>
        <w:pBdr>
          <w:bottom w:val="single" w:color="C9A84C" w:sz="4"/>
        </w:pBdr>
        <w:spacing w:before="200" w:after="80"/>
      </w:pPr>
      <w:r>
        <w:rPr>
          <w:rFonts w:ascii="Calibri" w:cs="Calibri" w:eastAsia="Calibri" w:hAnsi="Calibri"/>
          <w:b/>
          <w:bCs/>
          <w:color w:val="1F2B45"/>
          <w:sz w:val="26"/>
          <w:szCs w:val="26"/>
        </w:rPr>
        <w:t xml:space="preserve">Open-source is a double-edged sword</w:t>
      </w:r>
    </w:p>
    <w:p>
      <w:pPr>
        <w:spacing w:after="80"/>
      </w:pPr>
      <w:r>
        <w:rPr>
          <w:rFonts w:ascii="Calibri" w:cs="Calibri" w:eastAsia="Calibri" w:hAnsi="Calibri"/>
          <w:b w:val="false"/>
          <w:bCs w:val="false"/>
          <w:i w:val="false"/>
          <w:iCs w:val="false"/>
          <w:color w:val="595959"/>
          <w:sz w:val="20"/>
          <w:szCs w:val="20"/>
        </w:rPr>
        <w:t xml:space="preserve">Meta and Mistral use open-weight positioning as a sovereignty and compliance differentiator in their SO and ST strategies. Yet their WT quadrants reveal the same vulnerability: misuse risk, regulatory restriction, and commoditisation pressure from cheaper rivals doing the same thing. Open-source is simultaneously their strongest moat and their greatest exposure.</w:t>
      </w:r>
    </w:p>
    <w:p>
      <w:pPr>
        <w:spacing w:after="160"/>
      </w:pPr>
      <w:r>
        <w:t xml:space="preserve"/>
      </w:r>
    </w:p>
    <w:p>
      <w:pPr>
        <w:pStyle w:val="Heading2"/>
        <w:pBdr>
          <w:bottom w:val="single" w:color="C9A84C" w:sz="4"/>
        </w:pBdr>
        <w:spacing w:before="200" w:after="80"/>
      </w:pPr>
      <w:r>
        <w:rPr>
          <w:rFonts w:ascii="Calibri" w:cs="Calibri" w:eastAsia="Calibri" w:hAnsi="Calibri"/>
          <w:b/>
          <w:bCs/>
          <w:color w:val="1F2B45"/>
          <w:sz w:val="26"/>
          <w:szCs w:val="26"/>
        </w:rPr>
        <w:t xml:space="preserve">Microsoft Copilot's moat is distribution, not capability</w:t>
      </w:r>
    </w:p>
    <w:p>
      <w:pPr>
        <w:spacing w:after="80"/>
      </w:pPr>
      <w:r>
        <w:rPr>
          <w:rFonts w:ascii="Calibri" w:cs="Calibri" w:eastAsia="Calibri" w:hAnsi="Calibri"/>
          <w:b w:val="false"/>
          <w:bCs w:val="false"/>
          <w:i w:val="false"/>
          <w:iCs w:val="false"/>
          <w:color w:val="595959"/>
          <w:sz w:val="20"/>
          <w:szCs w:val="20"/>
        </w:rPr>
        <w:t xml:space="preserve">Copilot ranks #3 overall despite scoring only 6/10 on benchmark performance — driven by its 9/10 on enterprise adoption, revenue, and ecosystem depth. Its entire SO and ST strategy pivots on M365 integration, not model quality. The WO/WT quadrants reveal the core risk: a 3.3% paid conversion rate from a 400M+ seat base means the distribution advantage has not yet converted to defensible revenue at scale.</w:t>
      </w:r>
    </w:p>
    <w:p>
      <w:pPr>
        <w:spacing w:after="160"/>
      </w:pPr>
      <w:r>
        <w:t xml:space="preserve"/>
      </w:r>
    </w:p>
    <w:p>
      <w:pPr>
        <w:pStyle w:val="Heading2"/>
        <w:pBdr>
          <w:bottom w:val="single" w:color="C9A84C" w:sz="4"/>
        </w:pBdr>
        <w:spacing w:before="200" w:after="80"/>
      </w:pPr>
      <w:r>
        <w:rPr>
          <w:rFonts w:ascii="Calibri" w:cs="Calibri" w:eastAsia="Calibri" w:hAnsi="Calibri"/>
          <w:b/>
          <w:bCs/>
          <w:color w:val="1F2B45"/>
          <w:sz w:val="26"/>
          <w:szCs w:val="26"/>
        </w:rPr>
        <w:t xml:space="preserve">Perplexity is the most strategically exposed model</w:t>
      </w:r>
    </w:p>
    <w:p>
      <w:pPr>
        <w:spacing w:after="80"/>
      </w:pPr>
      <w:r>
        <w:rPr>
          <w:rFonts w:ascii="Calibri" w:cs="Calibri" w:eastAsia="Calibri" w:hAnsi="Calibri"/>
          <w:b w:val="false"/>
          <w:bCs w:val="false"/>
          <w:i w:val="false"/>
          <w:iCs w:val="false"/>
          <w:color w:val="595959"/>
          <w:sz w:val="20"/>
          <w:szCs w:val="20"/>
        </w:rPr>
        <w:t xml:space="preserve">Perplexity scores lowest overall (4.45) and its WT quadrant reveals genuine existential risk: its core reasoning depends on third-party APIs (OpenAI, Anthropic) that could be restricted or re-priced. Its entire WO strategy is a race — build proprietary capability before that dependency becomes a vulnerability. No other model on this list faces the same degree of foundational strategic fragility.</w:t>
      </w:r>
    </w:p>
    <w:p>
      <w:pPr>
        <w:spacing w:after="160"/>
      </w:pPr>
      <w:r>
        <w:t xml:space="preserve"/>
      </w:r>
    </w:p>
    <w:p>
      <w:pPr>
        <w:pStyle w:val="Heading2"/>
        <w:pBdr>
          <w:bottom w:val="single" w:color="C9A84C" w:sz="4"/>
        </w:pBdr>
        <w:spacing w:before="200" w:after="80"/>
      </w:pPr>
      <w:r>
        <w:rPr>
          <w:rFonts w:ascii="Calibri" w:cs="Calibri" w:eastAsia="Calibri" w:hAnsi="Calibri"/>
          <w:b/>
          <w:bCs/>
          <w:color w:val="1F2B45"/>
          <w:sz w:val="26"/>
          <w:szCs w:val="26"/>
        </w:rPr>
        <w:t xml:space="preserve">Benchmark performance is converging — commercial execution is diverging</w:t>
      </w:r>
    </w:p>
    <w:p>
      <w:pPr>
        <w:spacing w:after="80"/>
      </w:pPr>
      <w:r>
        <w:rPr>
          <w:rFonts w:ascii="Calibri" w:cs="Calibri" w:eastAsia="Calibri" w:hAnsi="Calibri"/>
          <w:b w:val="false"/>
          <w:bCs w:val="false"/>
          <w:i w:val="false"/>
          <w:iCs w:val="false"/>
          <w:color w:val="595959"/>
          <w:sz w:val="20"/>
          <w:szCs w:val="20"/>
        </w:rPr>
        <w:t xml:space="preserve">GPT-5.4, Gemini 3.1 Pro, Claude Opus 4.6, and even DeepSeek V3 are within striking distance on core benchmarks. The ranking divergence is almost entirely driven by the commercial execution criteria: enterprise adoption (25%) and revenue momentum (20%). Models that have successfully monetised at scale — OpenAI, Google, Microsoft — lead the table regardless of marginal benchmark differences.</w:t>
      </w:r>
    </w:p>
    <w:p>
      <w:pPr>
        <w:spacing w:after="160"/>
      </w:pPr>
      <w:r>
        <w:t xml:space="preserve"/>
      </w:r>
    </w:p>
    <w:p>
      <w:pPr>
        <w:pStyle w:val="Heading2"/>
        <w:pBdr>
          <w:bottom w:val="single" w:color="C9A84C" w:sz="4"/>
        </w:pBdr>
        <w:spacing w:before="200" w:after="80"/>
      </w:pPr>
      <w:r>
        <w:rPr>
          <w:rFonts w:ascii="Calibri" w:cs="Calibri" w:eastAsia="Calibri" w:hAnsi="Calibri"/>
          <w:b/>
          <w:bCs/>
          <w:color w:val="1F2B45"/>
          <w:sz w:val="26"/>
          <w:szCs w:val="26"/>
        </w:rPr>
        <w:t xml:space="preserve">Regulation is becoming a competitive variable</w:t>
      </w:r>
    </w:p>
    <w:p>
      <w:pPr>
        <w:spacing w:after="80"/>
      </w:pPr>
      <w:r>
        <w:rPr>
          <w:rFonts w:ascii="Calibri" w:cs="Calibri" w:eastAsia="Calibri" w:hAnsi="Calibri"/>
          <w:b w:val="false"/>
          <w:bCs w:val="false"/>
          <w:i w:val="false"/>
          <w:iCs w:val="false"/>
          <w:color w:val="595959"/>
          <w:sz w:val="20"/>
          <w:szCs w:val="20"/>
        </w:rPr>
        <w:t xml:space="preserve">The EU AI Act is simultaneously a threat for US and Chinese models and a deliberate strategic weapon for Mistral, which explicitly weaponises compliance complexity as a barrier to entry. For DeepSeek and Qwen, regulatory uncertainty dominates the WT quadrant. Across the full TOWS analysis, geopolitical and regulatory positioning appears in nearly every model's strategy — it is no longer a compliance overhead but a primary competitive differentiator.</w:t>
      </w:r>
    </w:p>
    <w:p>
      <w:pPr>
        <w:spacing w:after="160"/>
      </w:pPr>
      <w:r>
        <w:t xml:space="preserve"/>
      </w:r>
    </w:p>
    <w:sectPr>
      <w:headerReference w:type="default" r:id="rId6"/>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4"/>
      </w:pBdr>
      <w:tabs>
        <w:tab w:val="right" w:pos="9638"/>
      </w:tabs>
    </w:pPr>
    <w:r>
      <w:rPr>
        <w:rFonts w:ascii="Calibri" w:cs="Calibri" w:eastAsia="Calibri" w:hAnsi="Calibri"/>
        <w:color w:val="595959"/>
        <w:sz w:val="14"/>
        <w:szCs w:val="14"/>
      </w:rPr>
      <w:t xml:space="preserve">Data Defenders, LLC (a Delaware Company)</w:t>
    </w:r>
    <w:r>
      <w:rPr>
        <w:rFonts w:ascii="Calibri" w:cs="Calibri" w:eastAsia="Calibri" w:hAnsi="Calibri"/>
        <w:color w:val="C9A84C"/>
        <w:sz w:val="14"/>
        <w:szCs w:val="14"/>
      </w:rPr>
      <w:t xml:space="preserve">  |  Company Confidential — Do Not Distribute or Share.</w:t>
    </w:r>
    <w:r>
      <w:rPr>
        <w:rFonts w:ascii="Calibri" w:cs="Calibri" w:eastAsia="Calibri" w:hAnsi="Calibri"/>
        <w:color w:val="595959"/>
        <w:sz w:val="14"/>
        <w:szCs w:val="14"/>
      </w:rPr>
      <w:t xml:space="preserve">	© 2026 Data Defenders, LLC  |  Page </w:t>
    </w:r>
    <w:r>
      <w:rPr>
        <w:rFonts w:ascii="Calibri" w:cs="Calibri" w:eastAsia="Calibri" w:hAnsi="Calibri"/>
        <w:color w:val="595959"/>
        <w:sz w:val="14"/>
        <w:szCs w:val="14"/>
      </w:rPr>
      <w:fldChar w:fldCharType="begin"/>
      <w:instrText xml:space="preserve">PAGE</w:instrText>
      <w:fldChar w:fldCharType="separate"/>
      <w:fldChar w:fldCharType="end"/>
    </w:r>
    <w:r>
      <w:rPr>
        <w:rFonts w:ascii="Calibri" w:cs="Calibri" w:eastAsia="Calibri" w:hAnsi="Calibri"/>
        <w:color w:val="595959"/>
        <w:sz w:val="14"/>
        <w:szCs w:val="14"/>
      </w:rPr>
      <w:t xml:space="preserve"> of </w:t>
    </w:r>
    <w:r>
      <w:rPr>
        <w:rFonts w:ascii="Calibri" w:cs="Calibri" w:eastAsia="Calibri" w:hAnsi="Calibri"/>
        <w:color w:val="595959"/>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4"/>
      </w:pBdr>
      <w:tabs>
        <w:tab w:val="right" w:pos="9026"/>
      </w:tabs>
    </w:pPr>
    <w:r>
      <w:rPr>
        <w:rFonts w:ascii="Calibri" w:cs="Calibri" w:eastAsia="Calibri" w:hAnsi="Calibri"/>
        <w:color w:val="595959"/>
        <w:sz w:val="16"/>
        <w:szCs w:val="16"/>
      </w:rPr>
      <w:t xml:space="preserve">Top 10 AI Engines — SWOT Analysis</w:t>
    </w:r>
    <w:r>
      <w:rPr>
        <w:sz w:val="16"/>
        <w:szCs w:val="16"/>
      </w:rPr>
      <w:t xml:space="preserve">	</w:t>
    </w:r>
    <w:r>
      <w:rPr>
        <w:rFonts w:ascii="Calibri" w:cs="Calibri" w:eastAsia="Calibri" w:hAnsi="Calibri"/>
        <w:b/>
        <w:bCs/>
        <w:color w:val="C9A84C"/>
        <w:sz w:val="16"/>
        <w:szCs w:val="16"/>
      </w:rPr>
      <w:t xml:space="preserve">Data Defenders, LLC  |  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20" w:after="120"/>
      <w:outlineLvl w:val="0"/>
    </w:pPr>
    <w:rPr>
      <w:rFonts w:ascii="Calibri" w:cs="Calibri" w:eastAsia="Calibri" w:hAnsi="Calibri"/>
      <w:b/>
      <w:bCs/>
      <w:color w:val="1F2B45"/>
      <w:sz w:val="36"/>
      <w:szCs w:val="36"/>
    </w:rPr>
  </w:style>
  <w:style w:type="paragraph" w:styleId="Heading2">
    <w:name w:val="Heading 2"/>
    <w:basedOn w:val="Normal"/>
    <w:next w:val="Normal"/>
    <w:qFormat/>
    <w:pPr>
      <w:spacing w:before="200" w:after="80"/>
      <w:outlineLvl w:val="1"/>
    </w:pPr>
    <w:rPr>
      <w:rFonts w:ascii="Calibri" w:cs="Calibri" w:eastAsia="Calibri" w:hAnsi="Calibri"/>
      <w:b/>
      <w:bCs/>
      <w:color w:val="1F2B45"/>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2026-03-18T16:56:09.444Z</dcterms:created>
  <dcterms:modified xsi:type="dcterms:W3CDTF">2026-03-18T16:56:09.445Z</dcterms:modified>
</cp:coreProperties>
</file>

<file path=docProps/custom.xml><?xml version="1.0" encoding="utf-8"?>
<Properties xmlns="http://schemas.openxmlformats.org/officeDocument/2006/custom-properties" xmlns:vt="http://schemas.openxmlformats.org/officeDocument/2006/docPropsVTypes"/>
</file>